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EBBB6">
      <w:pPr>
        <w:keepNext w:val="0"/>
        <w:keepLines w:val="0"/>
        <w:pageBreakBefore w:val="0"/>
        <w:widowControl w:val="0"/>
        <w:kinsoku/>
        <w:wordWrap/>
        <w:overflowPunct/>
        <w:topLinePunct w:val="0"/>
        <w:autoSpaceDE w:val="0"/>
        <w:autoSpaceDN w:val="0"/>
        <w:bidi w:val="0"/>
        <w:snapToGrid w:val="0"/>
        <w:spacing w:line="360" w:lineRule="auto"/>
        <w:ind w:right="157"/>
        <w:jc w:val="center"/>
        <w:textAlignment w:val="auto"/>
        <w:rPr>
          <w:rFonts w:ascii="华文中宋" w:hAnsi="华文中宋" w:eastAsia="华文中宋" w:cs="华文中宋"/>
          <w:sz w:val="40"/>
          <w:szCs w:val="40"/>
        </w:rPr>
      </w:pPr>
      <w:r>
        <w:rPr>
          <w:rFonts w:hint="eastAsia" w:ascii="华文中宋" w:hAnsi="华文中宋" w:eastAsia="华文中宋" w:cs="华文中宋"/>
          <w:sz w:val="40"/>
          <w:szCs w:val="40"/>
        </w:rPr>
        <w:t>湖南电气职业技术学院</w:t>
      </w:r>
      <w:bookmarkStart w:id="0" w:name="_GoBack"/>
      <w:bookmarkEnd w:id="0"/>
    </w:p>
    <w:p w14:paraId="12510E2B">
      <w:pPr>
        <w:keepNext w:val="0"/>
        <w:keepLines w:val="0"/>
        <w:pageBreakBefore w:val="0"/>
        <w:widowControl w:val="0"/>
        <w:kinsoku/>
        <w:wordWrap/>
        <w:overflowPunct/>
        <w:topLinePunct w:val="0"/>
        <w:autoSpaceDE w:val="0"/>
        <w:autoSpaceDN w:val="0"/>
        <w:bidi w:val="0"/>
        <w:snapToGrid w:val="0"/>
        <w:spacing w:line="360" w:lineRule="auto"/>
        <w:ind w:right="157"/>
        <w:jc w:val="center"/>
        <w:textAlignment w:val="auto"/>
        <w:rPr>
          <w:rFonts w:hint="default" w:ascii="华文中宋" w:hAnsi="华文中宋" w:eastAsia="华文中宋" w:cs="华文中宋"/>
          <w:sz w:val="40"/>
          <w:szCs w:val="40"/>
          <w:lang w:val="en-US" w:eastAsia="zh-CN"/>
        </w:rPr>
      </w:pPr>
      <w:r>
        <w:rPr>
          <w:rFonts w:hint="eastAsia" w:ascii="华文中宋" w:hAnsi="华文中宋" w:eastAsia="华文中宋" w:cs="华文中宋"/>
          <w:sz w:val="40"/>
          <w:szCs w:val="40"/>
        </w:rPr>
        <w:t>横向科研项目及</w:t>
      </w:r>
      <w:r>
        <w:rPr>
          <w:rFonts w:hint="eastAsia" w:ascii="华文中宋" w:hAnsi="华文中宋" w:eastAsia="华文中宋" w:cs="华文中宋"/>
          <w:sz w:val="40"/>
          <w:szCs w:val="40"/>
          <w:lang w:eastAsia="zh-CN"/>
        </w:rPr>
        <w:t>经费</w:t>
      </w:r>
      <w:r>
        <w:rPr>
          <w:rFonts w:hint="eastAsia" w:ascii="华文中宋" w:hAnsi="华文中宋" w:eastAsia="华文中宋" w:cs="华文中宋"/>
          <w:sz w:val="40"/>
          <w:szCs w:val="40"/>
        </w:rPr>
        <w:t>管理办法（</w:t>
      </w:r>
      <w:r>
        <w:rPr>
          <w:rFonts w:hint="eastAsia" w:ascii="华文中宋" w:hAnsi="华文中宋" w:eastAsia="华文中宋" w:cs="华文中宋"/>
          <w:sz w:val="40"/>
          <w:szCs w:val="40"/>
          <w:lang w:val="en-US"/>
        </w:rPr>
        <w:t>修订</w:t>
      </w:r>
      <w:r>
        <w:rPr>
          <w:rFonts w:hint="eastAsia" w:ascii="华文中宋" w:hAnsi="华文中宋" w:eastAsia="华文中宋" w:cs="华文中宋"/>
          <w:sz w:val="40"/>
          <w:szCs w:val="40"/>
        </w:rPr>
        <w:t>）</w:t>
      </w:r>
      <w:r>
        <w:rPr>
          <w:rFonts w:hint="eastAsia" w:ascii="华文中宋" w:hAnsi="华文中宋" w:eastAsia="华文中宋" w:cs="华文中宋"/>
          <w:sz w:val="40"/>
          <w:szCs w:val="40"/>
          <w:lang w:eastAsia="zh-CN"/>
        </w:rPr>
        <w:t>（</w:t>
      </w:r>
      <w:r>
        <w:rPr>
          <w:rFonts w:hint="eastAsia" w:ascii="华文中宋" w:hAnsi="华文中宋" w:eastAsia="华文中宋" w:cs="华文中宋"/>
          <w:sz w:val="40"/>
          <w:szCs w:val="40"/>
          <w:lang w:val="en-US" w:eastAsia="zh-CN"/>
        </w:rPr>
        <w:t>讨论稿</w:t>
      </w:r>
      <w:r>
        <w:rPr>
          <w:rFonts w:hint="eastAsia" w:ascii="华文中宋" w:hAnsi="华文中宋" w:eastAsia="华文中宋" w:cs="华文中宋"/>
          <w:sz w:val="40"/>
          <w:szCs w:val="40"/>
          <w:lang w:eastAsia="zh-CN"/>
        </w:rPr>
        <w:t>）</w:t>
      </w:r>
    </w:p>
    <w:p w14:paraId="57AD79A4">
      <w:pPr>
        <w:pStyle w:val="3"/>
        <w:keepNext w:val="0"/>
        <w:keepLines w:val="0"/>
        <w:pageBreakBefore w:val="0"/>
        <w:widowControl w:val="0"/>
        <w:tabs>
          <w:tab w:val="left" w:pos="1281"/>
        </w:tabs>
        <w:kinsoku/>
        <w:wordWrap/>
        <w:overflowPunct/>
        <w:topLinePunct w:val="0"/>
        <w:autoSpaceDE w:val="0"/>
        <w:autoSpaceDN w:val="0"/>
        <w:bidi w:val="0"/>
        <w:snapToGrid w:val="0"/>
        <w:spacing w:line="360" w:lineRule="auto"/>
        <w:ind w:left="0" w:right="160" w:firstLine="0"/>
        <w:jc w:val="center"/>
        <w:textAlignment w:val="auto"/>
        <w:rPr>
          <w:rFonts w:ascii="黑体" w:eastAsia="黑体"/>
        </w:rPr>
      </w:pPr>
    </w:p>
    <w:p w14:paraId="0AC5A0B0">
      <w:pPr>
        <w:pStyle w:val="3"/>
        <w:keepNext w:val="0"/>
        <w:keepLines w:val="0"/>
        <w:pageBreakBefore w:val="0"/>
        <w:widowControl w:val="0"/>
        <w:tabs>
          <w:tab w:val="left" w:pos="1281"/>
        </w:tabs>
        <w:kinsoku/>
        <w:wordWrap/>
        <w:overflowPunct/>
        <w:topLinePunct w:val="0"/>
        <w:autoSpaceDE w:val="0"/>
        <w:autoSpaceDN w:val="0"/>
        <w:bidi w:val="0"/>
        <w:snapToGrid w:val="0"/>
        <w:spacing w:line="360" w:lineRule="auto"/>
        <w:ind w:left="0" w:right="160" w:firstLine="0"/>
        <w:jc w:val="center"/>
        <w:textAlignment w:val="auto"/>
        <w:rPr>
          <w:rFonts w:ascii="黑体" w:eastAsia="黑体"/>
        </w:rPr>
      </w:pPr>
      <w:r>
        <w:rPr>
          <w:rFonts w:hint="eastAsia" w:ascii="黑体" w:eastAsia="黑体"/>
        </w:rPr>
        <w:t>第一章</w:t>
      </w:r>
      <w:r>
        <w:rPr>
          <w:rFonts w:hint="eastAsia" w:ascii="黑体" w:eastAsia="黑体"/>
        </w:rPr>
        <w:tab/>
      </w:r>
      <w:r>
        <w:rPr>
          <w:rFonts w:hint="eastAsia" w:ascii="黑体" w:eastAsia="黑体"/>
        </w:rPr>
        <w:t>总则</w:t>
      </w:r>
    </w:p>
    <w:p w14:paraId="2F536C47">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spacing w:val="-3"/>
          <w:w w:val="95"/>
        </w:rPr>
      </w:pPr>
      <w:r>
        <w:rPr>
          <w:b/>
          <w:spacing w:val="10"/>
        </w:rPr>
        <w:t xml:space="preserve">第一条 </w:t>
      </w:r>
      <w:r>
        <w:rPr>
          <w:spacing w:val="11"/>
        </w:rPr>
        <w:t>为充分调动</w:t>
      </w:r>
      <w:r>
        <w:rPr>
          <w:rFonts w:hint="eastAsia"/>
          <w:spacing w:val="11"/>
        </w:rPr>
        <w:t>我院</w:t>
      </w:r>
      <w:r>
        <w:rPr>
          <w:spacing w:val="11"/>
        </w:rPr>
        <w:t>科研人员从事技术开发和服</w:t>
      </w:r>
      <w:r>
        <w:t>务工作的积极性，大力支持具有良好发展前景的应用研究项</w:t>
      </w:r>
      <w:r>
        <w:rPr>
          <w:spacing w:val="-3"/>
          <w:w w:val="95"/>
        </w:rPr>
        <w:t>目，进一步提升</w:t>
      </w:r>
      <w:r>
        <w:rPr>
          <w:rFonts w:hint="eastAsia"/>
          <w:spacing w:val="-3"/>
          <w:w w:val="95"/>
        </w:rPr>
        <w:t>我院</w:t>
      </w:r>
      <w:r>
        <w:rPr>
          <w:spacing w:val="-3"/>
          <w:w w:val="95"/>
        </w:rPr>
        <w:t>服务地方经济社会发展能力，参考</w:t>
      </w:r>
      <w:r>
        <w:rPr>
          <w:rFonts w:hint="eastAsia"/>
          <w:spacing w:val="-3"/>
          <w:w w:val="95"/>
        </w:rPr>
        <w:t>《国务院关于优化科研管理提升科研绩效若干措施的通知》(国发〔2018〕25 号)、</w:t>
      </w:r>
      <w:r>
        <w:rPr>
          <w:rFonts w:hint="eastAsia"/>
          <w:b/>
          <w:bCs/>
          <w:color w:val="FF0000"/>
          <w:spacing w:val="-3"/>
          <w:w w:val="95"/>
        </w:rPr>
        <w:t>《关于事业单位科研人员职务科技成果转化现金奖励纳入绩效工资管理有关问题的通知》（人社部发〔2021〕14号）</w:t>
      </w:r>
      <w:r>
        <w:rPr>
          <w:rFonts w:hint="eastAsia"/>
          <w:spacing w:val="-3"/>
          <w:w w:val="95"/>
          <w:lang w:eastAsia="zh-CN"/>
        </w:rPr>
        <w:t>、</w:t>
      </w:r>
      <w:r>
        <w:rPr>
          <w:rFonts w:hint="eastAsia"/>
          <w:spacing w:val="-3"/>
          <w:w w:val="95"/>
        </w:rPr>
        <w:t>《国务院办公厅关于改革完善中央财政科研经费管理的若干意见》(国办发〔2021〕32 号)、《关于进一步完善省级财政科研经费管理的实施意见》（湘政办发〔2022〕42号）、《湖南省加快高等院校科技成果转化的若干措施》(湘政办发〔2024〕21号)等上级部门文件中对</w:t>
      </w:r>
      <w:r>
        <w:rPr>
          <w:rFonts w:hint="eastAsia"/>
          <w:b/>
          <w:bCs/>
          <w:color w:val="FF0000"/>
          <w:spacing w:val="-3"/>
          <w:w w:val="95"/>
        </w:rPr>
        <w:t>横向</w:t>
      </w:r>
      <w:r>
        <w:rPr>
          <w:rFonts w:hint="eastAsia"/>
          <w:b/>
          <w:bCs/>
          <w:color w:val="FF0000"/>
          <w:spacing w:val="-3"/>
          <w:w w:val="95"/>
          <w:lang w:val="en-US" w:eastAsia="zh-CN"/>
        </w:rPr>
        <w:t>科研</w:t>
      </w:r>
      <w:r>
        <w:rPr>
          <w:rFonts w:hint="eastAsia"/>
          <w:b/>
          <w:bCs/>
          <w:color w:val="FF0000"/>
          <w:spacing w:val="-3"/>
          <w:w w:val="95"/>
        </w:rPr>
        <w:t>课题</w:t>
      </w:r>
      <w:r>
        <w:rPr>
          <w:rFonts w:hint="eastAsia"/>
          <w:b/>
          <w:bCs/>
          <w:color w:val="FF0000"/>
          <w:spacing w:val="-3"/>
          <w:w w:val="95"/>
          <w:lang w:val="en-US" w:eastAsia="zh-CN"/>
        </w:rPr>
        <w:t>项目</w:t>
      </w:r>
      <w:r>
        <w:rPr>
          <w:rFonts w:hint="eastAsia"/>
          <w:spacing w:val="-3"/>
          <w:w w:val="95"/>
        </w:rPr>
        <w:t>及</w:t>
      </w:r>
      <w:r>
        <w:rPr>
          <w:rFonts w:hint="eastAsia"/>
          <w:spacing w:val="-3"/>
          <w:w w:val="95"/>
          <w:lang w:eastAsia="zh-CN"/>
        </w:rPr>
        <w:t>经费</w:t>
      </w:r>
      <w:r>
        <w:rPr>
          <w:rFonts w:hint="eastAsia"/>
          <w:spacing w:val="-3"/>
          <w:w w:val="95"/>
        </w:rPr>
        <w:t>管理的相关</w:t>
      </w:r>
      <w:r>
        <w:rPr>
          <w:spacing w:val="-16"/>
        </w:rPr>
        <w:t>规定，结合</w:t>
      </w:r>
      <w:r>
        <w:rPr>
          <w:rFonts w:hint="eastAsia"/>
          <w:spacing w:val="-16"/>
        </w:rPr>
        <w:t>我院</w:t>
      </w:r>
      <w:r>
        <w:rPr>
          <w:spacing w:val="-16"/>
        </w:rPr>
        <w:t>实际情况，特</w:t>
      </w:r>
      <w:r>
        <w:rPr>
          <w:rFonts w:hint="eastAsia"/>
          <w:spacing w:val="-3"/>
          <w:w w:val="95"/>
          <w:lang w:val="en-US" w:eastAsia="zh-CN"/>
        </w:rPr>
        <w:t>修</w:t>
      </w:r>
      <w:r>
        <w:rPr>
          <w:spacing w:val="-3"/>
          <w:w w:val="95"/>
        </w:rPr>
        <w:t>订本办法。</w:t>
      </w:r>
    </w:p>
    <w:p w14:paraId="04BFE82E">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spacing w:val="-4"/>
          <w:w w:val="95"/>
        </w:rPr>
      </w:pPr>
      <w:r>
        <w:rPr>
          <w:b/>
          <w:spacing w:val="37"/>
        </w:rPr>
        <w:t xml:space="preserve">第二条 </w:t>
      </w:r>
      <w:r>
        <w:rPr>
          <w:spacing w:val="-2"/>
        </w:rPr>
        <w:t>横向科研项目指</w:t>
      </w:r>
      <w:r>
        <w:rPr>
          <w:rFonts w:hint="eastAsia"/>
          <w:spacing w:val="-2"/>
        </w:rPr>
        <w:t>我院</w:t>
      </w:r>
      <w:r>
        <w:rPr>
          <w:spacing w:val="-2"/>
        </w:rPr>
        <w:t>与企事业单位、政府机构</w:t>
      </w:r>
      <w:r>
        <w:rPr>
          <w:spacing w:val="-4"/>
        </w:rPr>
        <w:t>签订的合作研究、委托研究、技术开发、技术转让、技术咨</w:t>
      </w:r>
      <w:r>
        <w:rPr>
          <w:spacing w:val="-4"/>
          <w:w w:val="95"/>
        </w:rPr>
        <w:t>询、技术服务等非财政专项科研拨款项目。横向科研项目</w:t>
      </w:r>
      <w:r>
        <w:rPr>
          <w:rFonts w:hint="eastAsia"/>
          <w:spacing w:val="-4"/>
          <w:w w:val="95"/>
          <w:lang w:eastAsia="zh-CN"/>
        </w:rPr>
        <w:t>经费</w:t>
      </w:r>
      <w:r>
        <w:rPr>
          <w:spacing w:val="-5"/>
        </w:rPr>
        <w:t>是指</w:t>
      </w:r>
      <w:r>
        <w:rPr>
          <w:rFonts w:hint="eastAsia"/>
          <w:spacing w:val="-5"/>
        </w:rPr>
        <w:t>我院</w:t>
      </w:r>
      <w:r>
        <w:rPr>
          <w:spacing w:val="-5"/>
        </w:rPr>
        <w:t>通过市场委托以合同书或委托协</w:t>
      </w:r>
      <w:r>
        <w:rPr>
          <w:spacing w:val="-4"/>
          <w:w w:val="95"/>
        </w:rPr>
        <w:t>议书（以下统称合同）方式取得的非财政拨款</w:t>
      </w:r>
      <w:r>
        <w:rPr>
          <w:rFonts w:hint="eastAsia"/>
          <w:spacing w:val="-4"/>
          <w:w w:val="95"/>
          <w:lang w:eastAsia="zh-CN"/>
        </w:rPr>
        <w:t>经费</w:t>
      </w:r>
      <w:r>
        <w:rPr>
          <w:spacing w:val="-4"/>
          <w:w w:val="95"/>
        </w:rPr>
        <w:t>性质的经费。</w:t>
      </w:r>
    </w:p>
    <w:p w14:paraId="50270A3F">
      <w:pPr>
        <w:pStyle w:val="3"/>
        <w:keepNext w:val="0"/>
        <w:keepLines w:val="0"/>
        <w:pageBreakBefore w:val="0"/>
        <w:widowControl w:val="0"/>
        <w:tabs>
          <w:tab w:val="left" w:pos="1279"/>
        </w:tabs>
        <w:kinsoku/>
        <w:wordWrap/>
        <w:overflowPunct/>
        <w:topLinePunct w:val="0"/>
        <w:autoSpaceDE w:val="0"/>
        <w:autoSpaceDN w:val="0"/>
        <w:bidi w:val="0"/>
        <w:adjustRightInd w:val="0"/>
        <w:snapToGrid w:val="0"/>
        <w:spacing w:line="360" w:lineRule="auto"/>
        <w:ind w:left="0" w:right="0" w:firstLine="0"/>
        <w:jc w:val="center"/>
        <w:textAlignment w:val="auto"/>
        <w:rPr>
          <w:rFonts w:ascii="黑体" w:eastAsia="黑体"/>
        </w:rPr>
      </w:pPr>
      <w:r>
        <w:rPr>
          <w:rFonts w:hint="eastAsia" w:ascii="黑体" w:eastAsia="黑体"/>
        </w:rPr>
        <w:t>第二章</w:t>
      </w:r>
      <w:r>
        <w:rPr>
          <w:rFonts w:hint="eastAsia" w:ascii="黑体" w:eastAsia="黑体"/>
        </w:rPr>
        <w:tab/>
      </w:r>
      <w:r>
        <w:rPr>
          <w:rFonts w:hint="eastAsia" w:ascii="黑体" w:eastAsia="黑体"/>
        </w:rPr>
        <w:t>项目管理及职责</w:t>
      </w:r>
    </w:p>
    <w:p w14:paraId="45AB366A">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color w:val="0000FF"/>
          <w:spacing w:val="-4"/>
        </w:rPr>
      </w:pPr>
      <w:r>
        <w:rPr>
          <w:b/>
          <w:color w:val="0000FF"/>
          <w:spacing w:val="36"/>
        </w:rPr>
        <w:t xml:space="preserve">第三条 </w:t>
      </w:r>
      <w:r>
        <w:rPr>
          <w:rFonts w:hint="eastAsia"/>
          <w:bCs/>
          <w:lang w:val="en-US"/>
        </w:rPr>
        <w:t>项目主持人（联系人）原则上为学院在职员工，对项目的真实性、合法性、合同签订、项目实施、经费使用、资源调动、成果验收、知识产权保护以及保密和违约责任等承担全部责任。</w:t>
      </w:r>
    </w:p>
    <w:p w14:paraId="25BF6254">
      <w:pPr>
        <w:pStyle w:val="3"/>
        <w:keepNext w:val="0"/>
        <w:keepLines w:val="0"/>
        <w:pageBreakBefore w:val="0"/>
        <w:widowControl w:val="0"/>
        <w:kinsoku/>
        <w:wordWrap/>
        <w:overflowPunct/>
        <w:topLinePunct w:val="0"/>
        <w:autoSpaceDE w:val="0"/>
        <w:autoSpaceDN w:val="0"/>
        <w:bidi w:val="0"/>
        <w:snapToGrid w:val="0"/>
        <w:spacing w:line="360" w:lineRule="auto"/>
        <w:ind w:right="265"/>
        <w:textAlignment w:val="auto"/>
        <w:rPr>
          <w:b/>
          <w:color w:val="0000FF"/>
          <w:lang w:val="en-US"/>
        </w:rPr>
      </w:pPr>
      <w:r>
        <w:rPr>
          <w:rFonts w:hint="eastAsia"/>
          <w:b/>
          <w:color w:val="0000FF"/>
          <w:lang w:val="en-US"/>
        </w:rPr>
        <w:t>第四条 本办法</w:t>
      </w:r>
      <w:r>
        <w:rPr>
          <w:rFonts w:hint="eastAsia"/>
          <w:b/>
          <w:color w:val="0000FF"/>
          <w:lang w:val="en-US" w:eastAsia="zh-CN"/>
        </w:rPr>
        <w:t>中的</w:t>
      </w:r>
      <w:r>
        <w:rPr>
          <w:rFonts w:hint="eastAsia"/>
          <w:bCs/>
          <w:lang w:val="en-US"/>
        </w:rPr>
        <w:t>二级学院（部）</w:t>
      </w:r>
      <w:r>
        <w:rPr>
          <w:rFonts w:hint="eastAsia"/>
          <w:bCs/>
          <w:lang w:val="en-US" w:eastAsia="zh-CN"/>
        </w:rPr>
        <w:t>为</w:t>
      </w:r>
      <w:r>
        <w:rPr>
          <w:rFonts w:hint="eastAsia"/>
          <w:bCs/>
          <w:lang w:val="en-US"/>
        </w:rPr>
        <w:t>项目主持人（联系人）</w:t>
      </w:r>
      <w:r>
        <w:rPr>
          <w:rFonts w:hint="eastAsia"/>
          <w:bCs/>
          <w:lang w:val="en-US" w:eastAsia="zh-CN"/>
        </w:rPr>
        <w:t>根据项目性质选择的归属</w:t>
      </w:r>
      <w:r>
        <w:rPr>
          <w:rFonts w:hint="eastAsia"/>
          <w:bCs/>
          <w:lang w:val="en-US"/>
        </w:rPr>
        <w:t>院（部）</w:t>
      </w:r>
      <w:r>
        <w:rPr>
          <w:rFonts w:hint="eastAsia"/>
          <w:bCs/>
          <w:lang w:val="en-US" w:eastAsia="zh-CN"/>
        </w:rPr>
        <w:t>。</w:t>
      </w:r>
      <w:r>
        <w:rPr>
          <w:rFonts w:hint="eastAsia"/>
          <w:bCs/>
          <w:lang w:val="en-US"/>
        </w:rPr>
        <w:t>二级学院（部）是横向</w:t>
      </w:r>
      <w:r>
        <w:rPr>
          <w:spacing w:val="-2"/>
        </w:rPr>
        <w:t>科研项目</w:t>
      </w:r>
      <w:r>
        <w:rPr>
          <w:rFonts w:hint="eastAsia"/>
          <w:bCs/>
          <w:lang w:val="en-US"/>
        </w:rPr>
        <w:t>的业务管理单位，负责对</w:t>
      </w:r>
      <w:r>
        <w:rPr>
          <w:rFonts w:hint="eastAsia"/>
          <w:bCs/>
          <w:lang w:val="en-US" w:eastAsia="zh-CN"/>
        </w:rPr>
        <w:t>横向科研项目</w:t>
      </w:r>
      <w:r>
        <w:rPr>
          <w:rFonts w:hint="eastAsia"/>
          <w:bCs/>
          <w:lang w:val="en-US"/>
        </w:rPr>
        <w:t>实施提供指导、支持和过程监督。二级学院（部）须对项目负责人的业务能力、项目组成人员构成、项目技术指标的合理性以及项目的可行性等进行审查，并签署意见。</w:t>
      </w:r>
    </w:p>
    <w:p w14:paraId="30A1AD6B">
      <w:pPr>
        <w:pStyle w:val="3"/>
        <w:keepNext w:val="0"/>
        <w:keepLines w:val="0"/>
        <w:pageBreakBefore w:val="0"/>
        <w:widowControl w:val="0"/>
        <w:kinsoku/>
        <w:wordWrap/>
        <w:overflowPunct/>
        <w:topLinePunct w:val="0"/>
        <w:autoSpaceDE w:val="0"/>
        <w:autoSpaceDN w:val="0"/>
        <w:bidi w:val="0"/>
        <w:snapToGrid w:val="0"/>
        <w:spacing w:line="360" w:lineRule="auto"/>
        <w:ind w:right="280"/>
        <w:textAlignment w:val="auto"/>
        <w:rPr>
          <w:rFonts w:hint="eastAsia"/>
          <w:bCs/>
          <w:color w:val="0000FF"/>
          <w:lang w:val="en-US"/>
        </w:rPr>
      </w:pPr>
      <w:r>
        <w:rPr>
          <w:b/>
        </w:rPr>
        <w:t>第</w:t>
      </w:r>
      <w:r>
        <w:rPr>
          <w:rFonts w:hint="eastAsia"/>
          <w:b/>
        </w:rPr>
        <w:t>五</w:t>
      </w:r>
      <w:r>
        <w:rPr>
          <w:b/>
        </w:rPr>
        <w:t xml:space="preserve">条 </w:t>
      </w:r>
      <w:r>
        <w:rPr>
          <w:rFonts w:hint="eastAsia"/>
          <w:bCs/>
          <w:lang w:val="en-US"/>
        </w:rPr>
        <w:t>科研处负责横向项目结题、档案管理、监督检查以及合同审批、签订等工作。财务处负责开具</w:t>
      </w:r>
      <w:r>
        <w:rPr>
          <w:rFonts w:hint="eastAsia"/>
          <w:bCs/>
          <w:lang w:val="en-US" w:eastAsia="zh-CN"/>
        </w:rPr>
        <w:t>增值税发票</w:t>
      </w:r>
      <w:r>
        <w:rPr>
          <w:rFonts w:hint="eastAsia"/>
          <w:bCs/>
          <w:lang w:val="en-US"/>
        </w:rPr>
        <w:t>、经费入账和</w:t>
      </w:r>
      <w:r>
        <w:rPr>
          <w:rFonts w:hint="eastAsia"/>
          <w:bCs/>
          <w:lang w:val="en-US" w:eastAsia="zh-CN"/>
        </w:rPr>
        <w:t>报销</w:t>
      </w:r>
      <w:r>
        <w:rPr>
          <w:rFonts w:hint="eastAsia"/>
          <w:bCs/>
          <w:lang w:val="en-US"/>
        </w:rPr>
        <w:t>。</w:t>
      </w:r>
    </w:p>
    <w:p w14:paraId="1B773312">
      <w:pPr>
        <w:pStyle w:val="3"/>
        <w:keepNext w:val="0"/>
        <w:keepLines w:val="0"/>
        <w:pageBreakBefore w:val="0"/>
        <w:widowControl w:val="0"/>
        <w:kinsoku/>
        <w:wordWrap/>
        <w:overflowPunct/>
        <w:topLinePunct w:val="0"/>
        <w:autoSpaceDE w:val="0"/>
        <w:autoSpaceDN w:val="0"/>
        <w:bidi w:val="0"/>
        <w:snapToGrid w:val="0"/>
        <w:spacing w:line="360" w:lineRule="auto"/>
        <w:ind w:left="119" w:right="265"/>
        <w:textAlignment w:val="auto"/>
      </w:pPr>
      <w:r>
        <w:rPr>
          <w:b/>
        </w:rPr>
        <w:t>第</w:t>
      </w:r>
      <w:r>
        <w:rPr>
          <w:rFonts w:hint="eastAsia"/>
          <w:b/>
        </w:rPr>
        <w:t>六</w:t>
      </w:r>
      <w:r>
        <w:rPr>
          <w:b/>
        </w:rPr>
        <w:t xml:space="preserve">条 </w:t>
      </w:r>
      <w:r>
        <w:t>凡以</w:t>
      </w:r>
      <w:r>
        <w:rPr>
          <w:rFonts w:hint="eastAsia"/>
        </w:rPr>
        <w:t>湖南电气职业技术学院</w:t>
      </w:r>
      <w:r>
        <w:t>名义获得的项目</w:t>
      </w:r>
      <w:r>
        <w:rPr>
          <w:rFonts w:hint="eastAsia"/>
          <w:lang w:eastAsia="zh-CN"/>
        </w:rPr>
        <w:t>经费</w:t>
      </w:r>
      <w:r>
        <w:t>必须纳入</w:t>
      </w:r>
      <w:r>
        <w:rPr>
          <w:rFonts w:hint="eastAsia"/>
        </w:rPr>
        <w:t>学院</w:t>
      </w:r>
      <w:r>
        <w:t>财务统一管理，单独立项，专款专用，严格执行法律、法规和政策规定，防止违纪、违规行为的发生。其所形成的有形和无形资产，如合同有约定按合同约定执行，</w:t>
      </w:r>
      <w:r>
        <w:rPr>
          <w:rFonts w:hint="eastAsia"/>
          <w:lang w:val="en-US"/>
        </w:rPr>
        <w:t>合同未约定的或约定不明确的，</w:t>
      </w:r>
      <w:r>
        <w:rPr>
          <w:rFonts w:hint="eastAsia"/>
          <w:color w:val="0000FF"/>
          <w:lang w:val="en-US" w:eastAsia="zh-CN"/>
        </w:rPr>
        <w:t>列入学院国有资产统一管理</w:t>
      </w:r>
      <w:r>
        <w:rPr>
          <w:rFonts w:hint="eastAsia"/>
          <w:color w:val="0000FF"/>
          <w:lang w:val="en-US"/>
        </w:rPr>
        <w:t>。</w:t>
      </w:r>
    </w:p>
    <w:p w14:paraId="3C402ADC">
      <w:pPr>
        <w:pStyle w:val="3"/>
        <w:keepNext w:val="0"/>
        <w:keepLines w:val="0"/>
        <w:pageBreakBefore w:val="0"/>
        <w:widowControl w:val="0"/>
        <w:kinsoku/>
        <w:wordWrap/>
        <w:overflowPunct/>
        <w:topLinePunct w:val="0"/>
        <w:autoSpaceDE w:val="0"/>
        <w:autoSpaceDN w:val="0"/>
        <w:bidi w:val="0"/>
        <w:snapToGrid w:val="0"/>
        <w:spacing w:line="360" w:lineRule="auto"/>
        <w:ind w:left="119" w:right="280" w:firstLine="559"/>
        <w:textAlignment w:val="auto"/>
        <w:rPr>
          <w:spacing w:val="-1"/>
          <w:lang w:val="en-US"/>
        </w:rPr>
      </w:pPr>
      <w:r>
        <w:rPr>
          <w:rFonts w:hint="eastAsia"/>
          <w:b/>
          <w:spacing w:val="2"/>
          <w:lang w:val="en-US"/>
        </w:rPr>
        <w:t xml:space="preserve">第七条 </w:t>
      </w:r>
      <w:r>
        <w:rPr>
          <w:rFonts w:hint="eastAsia"/>
          <w:spacing w:val="-1"/>
          <w:lang w:val="en-US"/>
        </w:rPr>
        <w:t>项目执行过程中，因技术上无法克服的困难或不可抗力等因素造成不能继续履行合同，经二级院（部）、科研处、学院法人代表或学院法人委托代表同意后，及时与委托方联系，并以书面形式对原合同进行变更或解除。合同变更或解除应在一周内报科研处备案。</w:t>
      </w:r>
    </w:p>
    <w:p w14:paraId="2E206DF9">
      <w:pPr>
        <w:pStyle w:val="3"/>
        <w:keepNext w:val="0"/>
        <w:keepLines w:val="0"/>
        <w:pageBreakBefore w:val="0"/>
        <w:widowControl w:val="0"/>
        <w:kinsoku/>
        <w:wordWrap/>
        <w:overflowPunct/>
        <w:topLinePunct w:val="0"/>
        <w:autoSpaceDE w:val="0"/>
        <w:autoSpaceDN w:val="0"/>
        <w:bidi w:val="0"/>
        <w:snapToGrid w:val="0"/>
        <w:spacing w:line="360" w:lineRule="auto"/>
        <w:ind w:right="280" w:firstLine="559"/>
        <w:textAlignment w:val="auto"/>
        <w:rPr>
          <w:spacing w:val="-1"/>
          <w:lang w:val="en-US"/>
        </w:rPr>
      </w:pPr>
      <w:r>
        <w:rPr>
          <w:rFonts w:hint="eastAsia"/>
          <w:b/>
          <w:bCs/>
          <w:spacing w:val="-1"/>
          <w:lang w:val="en-US"/>
        </w:rPr>
        <w:t>第八条</w:t>
      </w:r>
      <w:r>
        <w:rPr>
          <w:rFonts w:hint="eastAsia"/>
          <w:spacing w:val="-1"/>
          <w:lang w:val="en-US"/>
        </w:rPr>
        <w:t xml:space="preserve"> 横向科研项目组在执行项目合同过程中出现违约，责任由项目主持人（联系人）承担。项目合同执行过程中出现纠纷，</w:t>
      </w:r>
      <w:r>
        <w:rPr>
          <w:rFonts w:hint="eastAsia"/>
          <w:color w:val="0000FF"/>
          <w:spacing w:val="-1"/>
          <w:lang w:val="en-US"/>
        </w:rPr>
        <w:t>由科研处会同项目主持人（联系人）及</w:t>
      </w:r>
      <w:r>
        <w:rPr>
          <w:rFonts w:hint="eastAsia"/>
          <w:bCs/>
          <w:lang w:val="en-US"/>
        </w:rPr>
        <w:t>二级学院（部）</w:t>
      </w:r>
      <w:r>
        <w:rPr>
          <w:rFonts w:hint="eastAsia"/>
          <w:color w:val="0000FF"/>
          <w:spacing w:val="-1"/>
          <w:lang w:val="en-US"/>
        </w:rPr>
        <w:t>与项目委托方根据合同（协议）协商解决。</w:t>
      </w:r>
    </w:p>
    <w:p w14:paraId="12E20300">
      <w:pPr>
        <w:pStyle w:val="3"/>
        <w:keepNext w:val="0"/>
        <w:keepLines w:val="0"/>
        <w:pageBreakBefore w:val="0"/>
        <w:widowControl w:val="0"/>
        <w:tabs>
          <w:tab w:val="left" w:pos="1279"/>
        </w:tabs>
        <w:kinsoku/>
        <w:wordWrap/>
        <w:overflowPunct/>
        <w:topLinePunct w:val="0"/>
        <w:autoSpaceDE w:val="0"/>
        <w:autoSpaceDN w:val="0"/>
        <w:bidi w:val="0"/>
        <w:snapToGrid w:val="0"/>
        <w:spacing w:line="360" w:lineRule="auto"/>
        <w:ind w:left="0" w:right="159" w:firstLine="0"/>
        <w:jc w:val="center"/>
        <w:textAlignment w:val="auto"/>
        <w:rPr>
          <w:rFonts w:ascii="黑体" w:eastAsia="黑体"/>
        </w:rPr>
      </w:pPr>
      <w:r>
        <w:rPr>
          <w:rFonts w:hint="eastAsia" w:ascii="黑体" w:eastAsia="黑体"/>
        </w:rPr>
        <w:t>第三章</w:t>
      </w:r>
      <w:r>
        <w:rPr>
          <w:rFonts w:hint="eastAsia" w:ascii="黑体" w:eastAsia="黑体"/>
        </w:rPr>
        <w:tab/>
      </w:r>
      <w:r>
        <w:rPr>
          <w:rFonts w:hint="eastAsia" w:ascii="黑体" w:eastAsia="黑体"/>
        </w:rPr>
        <w:t>合同签订</w:t>
      </w:r>
    </w:p>
    <w:p w14:paraId="6BD72D38">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spacing w:val="-5"/>
        </w:rPr>
      </w:pPr>
      <w:r>
        <w:rPr>
          <w:b/>
          <w:spacing w:val="36"/>
        </w:rPr>
        <w:t>第</w:t>
      </w:r>
      <w:r>
        <w:rPr>
          <w:rFonts w:hint="eastAsia"/>
          <w:b/>
          <w:spacing w:val="36"/>
          <w:lang w:val="en-US" w:eastAsia="zh-CN"/>
        </w:rPr>
        <w:t>九</w:t>
      </w:r>
      <w:r>
        <w:rPr>
          <w:b/>
          <w:spacing w:val="36"/>
        </w:rPr>
        <w:t>条</w:t>
      </w:r>
      <w:r>
        <w:rPr>
          <w:rFonts w:hint="eastAsia"/>
        </w:rPr>
        <w:t>项目主持人（联系人）</w:t>
      </w:r>
      <w:r>
        <w:t>负责项目合同书的起草。</w:t>
      </w:r>
      <w:r>
        <w:rPr>
          <w:spacing w:val="-2"/>
        </w:rPr>
        <w:t>与外单位签订横向科研项目合同，应一律以</w:t>
      </w:r>
      <w:r>
        <w:rPr>
          <w:rFonts w:hint="eastAsia"/>
          <w:spacing w:val="-2"/>
        </w:rPr>
        <w:t>湖南电气职业技术学院</w:t>
      </w:r>
      <w:r>
        <w:rPr>
          <w:spacing w:val="-4"/>
        </w:rPr>
        <w:t>的名义，</w:t>
      </w:r>
      <w:r>
        <w:rPr>
          <w:color w:val="0000FF"/>
          <w:spacing w:val="-4"/>
        </w:rPr>
        <w:t>并加盖</w:t>
      </w:r>
      <w:r>
        <w:rPr>
          <w:rFonts w:hint="eastAsia"/>
          <w:color w:val="0000FF"/>
          <w:spacing w:val="-4"/>
          <w:lang w:val="en-US"/>
        </w:rPr>
        <w:t>学院</w:t>
      </w:r>
      <w:r>
        <w:rPr>
          <w:rFonts w:hint="eastAsia"/>
          <w:b/>
          <w:bCs/>
          <w:color w:val="FF0000"/>
          <w:spacing w:val="-4"/>
          <w:lang w:val="en-US" w:eastAsia="zh-CN"/>
        </w:rPr>
        <w:t>合同</w:t>
      </w:r>
      <w:r>
        <w:rPr>
          <w:color w:val="0000FF"/>
          <w:spacing w:val="-4"/>
        </w:rPr>
        <w:t>章方能生效</w:t>
      </w:r>
      <w:r>
        <w:rPr>
          <w:spacing w:val="-4"/>
        </w:rPr>
        <w:t>。各</w:t>
      </w:r>
      <w:r>
        <w:rPr>
          <w:rFonts w:hint="eastAsia"/>
          <w:spacing w:val="-4"/>
        </w:rPr>
        <w:t>二级院（部）</w:t>
      </w:r>
      <w:r>
        <w:rPr>
          <w:spacing w:val="-4"/>
        </w:rPr>
        <w:t>和个</w:t>
      </w:r>
      <w:r>
        <w:rPr>
          <w:spacing w:val="-5"/>
        </w:rPr>
        <w:t>人均不得利用</w:t>
      </w:r>
      <w:r>
        <w:rPr>
          <w:rFonts w:hint="eastAsia"/>
          <w:spacing w:val="-5"/>
        </w:rPr>
        <w:t>学院</w:t>
      </w:r>
      <w:r>
        <w:rPr>
          <w:spacing w:val="-5"/>
        </w:rPr>
        <w:t>资源，以部门</w:t>
      </w:r>
      <w:r>
        <w:rPr>
          <w:rFonts w:hint="eastAsia"/>
          <w:spacing w:val="-5"/>
          <w:lang w:val="en-US"/>
        </w:rPr>
        <w:t>或</w:t>
      </w:r>
      <w:r>
        <w:rPr>
          <w:spacing w:val="-5"/>
        </w:rPr>
        <w:t>个人的名义对外签订合同和开展横向科研工作。</w:t>
      </w:r>
    </w:p>
    <w:p w14:paraId="3BCC4323">
      <w:pPr>
        <w:pStyle w:val="3"/>
        <w:keepNext w:val="0"/>
        <w:keepLines w:val="0"/>
        <w:pageBreakBefore w:val="0"/>
        <w:widowControl w:val="0"/>
        <w:numPr>
          <w:ilvl w:val="0"/>
          <w:numId w:val="1"/>
        </w:numPr>
        <w:kinsoku/>
        <w:wordWrap/>
        <w:overflowPunct/>
        <w:topLinePunct w:val="0"/>
        <w:autoSpaceDE w:val="0"/>
        <w:autoSpaceDN w:val="0"/>
        <w:bidi w:val="0"/>
        <w:snapToGrid w:val="0"/>
        <w:spacing w:line="360" w:lineRule="auto"/>
        <w:textAlignment w:val="auto"/>
        <w:rPr>
          <w:spacing w:val="-2"/>
        </w:rPr>
      </w:pPr>
      <w:r>
        <w:rPr>
          <w:rFonts w:hint="eastAsia"/>
          <w:spacing w:val="-2"/>
          <w:lang w:val="en-US"/>
        </w:rPr>
        <w:t>横向科研项目合同的条款一般包括下列内容：项目名称、项目内容、范围和要求，履行合同的计划、进度、期限和方式，技术情报和资料的保密，风险责任的承担，验收标准和方法，研究经费、报酬及其支付方法，技术成果的归属和收益分成方法，违约金的计算和支付，解决争议的方式等</w:t>
      </w:r>
      <w:r>
        <w:rPr>
          <w:spacing w:val="-2"/>
        </w:rPr>
        <w:t>。</w:t>
      </w:r>
    </w:p>
    <w:p w14:paraId="78C531FE">
      <w:pPr>
        <w:keepNext w:val="0"/>
        <w:keepLines w:val="0"/>
        <w:pageBreakBefore w:val="0"/>
        <w:widowControl w:val="0"/>
        <w:kinsoku/>
        <w:wordWrap/>
        <w:overflowPunct/>
        <w:topLinePunct w:val="0"/>
        <w:autoSpaceDE w:val="0"/>
        <w:autoSpaceDN w:val="0"/>
        <w:bidi w:val="0"/>
        <w:snapToGrid w:val="0"/>
        <w:spacing w:line="360" w:lineRule="auto"/>
        <w:ind w:left="760"/>
        <w:jc w:val="both"/>
        <w:textAlignment w:val="auto"/>
        <w:rPr>
          <w:sz w:val="32"/>
        </w:rPr>
      </w:pPr>
      <w:r>
        <w:rPr>
          <w:b/>
          <w:sz w:val="32"/>
        </w:rPr>
        <w:t>第十</w:t>
      </w:r>
      <w:r>
        <w:rPr>
          <w:rFonts w:hint="eastAsia"/>
          <w:b/>
          <w:sz w:val="32"/>
          <w:lang w:val="en-US" w:eastAsia="zh-CN"/>
        </w:rPr>
        <w:t>一</w:t>
      </w:r>
      <w:r>
        <w:rPr>
          <w:b/>
          <w:sz w:val="32"/>
        </w:rPr>
        <w:t xml:space="preserve">条 </w:t>
      </w:r>
      <w:r>
        <w:rPr>
          <w:sz w:val="32"/>
        </w:rPr>
        <w:t>横向</w:t>
      </w:r>
      <w:r>
        <w:rPr>
          <w:rFonts w:hint="eastAsia"/>
          <w:sz w:val="32"/>
          <w:lang w:val="en-US"/>
        </w:rPr>
        <w:t>科研课题</w:t>
      </w:r>
      <w:r>
        <w:rPr>
          <w:sz w:val="32"/>
        </w:rPr>
        <w:t>审批流程：</w:t>
      </w:r>
    </w:p>
    <w:p w14:paraId="581E5BA9">
      <w:pPr>
        <w:pStyle w:val="3"/>
        <w:keepNext w:val="0"/>
        <w:keepLines w:val="0"/>
        <w:pageBreakBefore w:val="0"/>
        <w:widowControl w:val="0"/>
        <w:kinsoku/>
        <w:wordWrap/>
        <w:overflowPunct/>
        <w:topLinePunct w:val="0"/>
        <w:autoSpaceDE w:val="0"/>
        <w:autoSpaceDN w:val="0"/>
        <w:bidi w:val="0"/>
        <w:adjustRightInd/>
        <w:snapToGrid w:val="0"/>
        <w:spacing w:line="360" w:lineRule="auto"/>
        <w:ind w:left="119" w:right="278" w:firstLine="641"/>
        <w:textAlignment w:val="auto"/>
        <w:rPr>
          <w:spacing w:val="-2"/>
        </w:rPr>
      </w:pPr>
      <w:r>
        <w:rPr>
          <w:spacing w:val="-2"/>
        </w:rPr>
        <w:t>（一）横向科研合同校内审签程序为：</w:t>
      </w:r>
    </w:p>
    <w:p w14:paraId="1AD1DDC1">
      <w:pPr>
        <w:pStyle w:val="3"/>
        <w:keepNext w:val="0"/>
        <w:keepLines w:val="0"/>
        <w:pageBreakBefore w:val="0"/>
        <w:widowControl w:val="0"/>
        <w:kinsoku/>
        <w:wordWrap/>
        <w:overflowPunct/>
        <w:topLinePunct w:val="0"/>
        <w:autoSpaceDE w:val="0"/>
        <w:autoSpaceDN w:val="0"/>
        <w:bidi w:val="0"/>
        <w:snapToGrid w:val="0"/>
        <w:spacing w:line="360" w:lineRule="auto"/>
        <w:ind w:left="760" w:right="0" w:firstLine="0"/>
        <w:textAlignment w:val="auto"/>
        <w:rPr>
          <w:rFonts w:hint="eastAsia"/>
          <w:spacing w:val="-2"/>
        </w:rPr>
      </w:pPr>
      <w:r>
        <w:rPr>
          <w:rFonts w:hint="eastAsia"/>
          <w:spacing w:val="-2"/>
        </w:rPr>
        <w:t xml:space="preserve">1.合同金额 </w:t>
      </w:r>
      <w:r>
        <w:rPr>
          <w:rFonts w:hint="eastAsia"/>
          <w:spacing w:val="-2"/>
          <w:lang w:val="en-US" w:eastAsia="zh-CN"/>
        </w:rPr>
        <w:t>2</w:t>
      </w:r>
      <w:r>
        <w:rPr>
          <w:rFonts w:hint="eastAsia"/>
          <w:spacing w:val="-2"/>
        </w:rPr>
        <w:t>0 万元以下</w:t>
      </w:r>
    </w:p>
    <w:p w14:paraId="705EFD5C">
      <w:pPr>
        <w:pStyle w:val="3"/>
        <w:keepNext w:val="0"/>
        <w:keepLines w:val="0"/>
        <w:pageBreakBefore w:val="0"/>
        <w:widowControl w:val="0"/>
        <w:kinsoku/>
        <w:wordWrap/>
        <w:overflowPunct/>
        <w:topLinePunct w:val="0"/>
        <w:autoSpaceDE w:val="0"/>
        <w:autoSpaceDN w:val="0"/>
        <w:bidi w:val="0"/>
        <w:snapToGrid w:val="0"/>
        <w:spacing w:line="360" w:lineRule="auto"/>
        <w:ind w:left="760" w:right="0" w:firstLine="0"/>
        <w:textAlignment w:val="auto"/>
        <w:rPr>
          <w:rFonts w:hint="eastAsia"/>
          <w:spacing w:val="-2"/>
        </w:rPr>
      </w:pPr>
      <w:r>
        <w:rPr>
          <w:rFonts w:hint="eastAsia"/>
          <w:spacing w:val="-2"/>
        </w:rPr>
        <w:t>校内审签程序为：双方草拟合同→院（部）审核→科研处审核→分管校领导→盖章。</w:t>
      </w:r>
    </w:p>
    <w:p w14:paraId="14FBD317">
      <w:pPr>
        <w:pStyle w:val="3"/>
        <w:keepNext w:val="0"/>
        <w:keepLines w:val="0"/>
        <w:pageBreakBefore w:val="0"/>
        <w:widowControl w:val="0"/>
        <w:kinsoku/>
        <w:wordWrap/>
        <w:overflowPunct/>
        <w:topLinePunct w:val="0"/>
        <w:autoSpaceDE w:val="0"/>
        <w:autoSpaceDN w:val="0"/>
        <w:bidi w:val="0"/>
        <w:snapToGrid w:val="0"/>
        <w:spacing w:line="360" w:lineRule="auto"/>
        <w:ind w:left="760" w:right="0" w:firstLine="0"/>
        <w:textAlignment w:val="auto"/>
        <w:rPr>
          <w:rFonts w:hint="eastAsia"/>
          <w:spacing w:val="-2"/>
        </w:rPr>
      </w:pPr>
      <w:r>
        <w:rPr>
          <w:rFonts w:hint="eastAsia"/>
          <w:spacing w:val="-2"/>
        </w:rPr>
        <w:t xml:space="preserve">2.合同金额 </w:t>
      </w:r>
      <w:r>
        <w:rPr>
          <w:rFonts w:hint="eastAsia"/>
          <w:spacing w:val="-2"/>
          <w:lang w:val="en-US" w:eastAsia="zh-CN"/>
        </w:rPr>
        <w:t>2</w:t>
      </w:r>
      <w:r>
        <w:rPr>
          <w:rFonts w:hint="eastAsia"/>
          <w:spacing w:val="-2"/>
        </w:rPr>
        <w:t>0 万元（含）以上</w:t>
      </w:r>
    </w:p>
    <w:p w14:paraId="1FACAE31">
      <w:pPr>
        <w:pStyle w:val="3"/>
        <w:keepNext w:val="0"/>
        <w:keepLines w:val="0"/>
        <w:pageBreakBefore w:val="0"/>
        <w:widowControl w:val="0"/>
        <w:kinsoku/>
        <w:wordWrap/>
        <w:overflowPunct/>
        <w:topLinePunct w:val="0"/>
        <w:autoSpaceDE w:val="0"/>
        <w:autoSpaceDN w:val="0"/>
        <w:bidi w:val="0"/>
        <w:snapToGrid w:val="0"/>
        <w:spacing w:line="360" w:lineRule="auto"/>
        <w:ind w:left="760" w:right="0" w:firstLine="0"/>
        <w:textAlignment w:val="auto"/>
      </w:pPr>
      <w:r>
        <w:rPr>
          <w:rFonts w:hint="eastAsia"/>
          <w:spacing w:val="-2"/>
        </w:rPr>
        <w:t>校内审签程序为：双方草拟合同→院（部）审核→科研处审核→法律顾问审核→分管校领导→校长审核签字→盖章。</w:t>
      </w:r>
      <w:r>
        <w:t>（二）立项横向科研项目对外协作费审批流程</w:t>
      </w:r>
    </w:p>
    <w:p w14:paraId="1F017762">
      <w:pPr>
        <w:pStyle w:val="3"/>
        <w:keepNext w:val="0"/>
        <w:keepLines w:val="0"/>
        <w:pageBreakBefore w:val="0"/>
        <w:widowControl w:val="0"/>
        <w:kinsoku/>
        <w:wordWrap/>
        <w:overflowPunct/>
        <w:topLinePunct w:val="0"/>
        <w:autoSpaceDE w:val="0"/>
        <w:autoSpaceDN w:val="0"/>
        <w:bidi w:val="0"/>
        <w:snapToGrid w:val="0"/>
        <w:spacing w:line="360" w:lineRule="auto"/>
        <w:textAlignment w:val="auto"/>
      </w:pPr>
      <w:r>
        <w:rPr>
          <w:spacing w:val="-2"/>
        </w:rPr>
        <w:t>对</w:t>
      </w:r>
      <w:r>
        <w:rPr>
          <w:rFonts w:hint="eastAsia"/>
          <w:spacing w:val="-2"/>
        </w:rPr>
        <w:t>立项</w:t>
      </w:r>
      <w:r>
        <w:rPr>
          <w:spacing w:val="-2"/>
        </w:rPr>
        <w:t>的横向</w:t>
      </w:r>
      <w:r>
        <w:rPr>
          <w:rFonts w:hint="eastAsia"/>
          <w:spacing w:val="-2"/>
          <w:lang w:val="en-US"/>
        </w:rPr>
        <w:t>科研</w:t>
      </w:r>
      <w:r>
        <w:rPr>
          <w:spacing w:val="-2"/>
        </w:rPr>
        <w:t>项目，初始合同明确规定了</w:t>
      </w:r>
      <w:r>
        <w:rPr>
          <w:spacing w:val="-4"/>
        </w:rPr>
        <w:t>项目对外协作费用的用途，且科研经费进校以后，方可签订</w:t>
      </w:r>
      <w:r>
        <w:rPr>
          <w:spacing w:val="-6"/>
        </w:rPr>
        <w:t>外协科研合同。外协科研合同须使用科技部印发的标准格式合同，校内审签程序为：</w:t>
      </w:r>
    </w:p>
    <w:p w14:paraId="11FC1B3E">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spacing w:val="11"/>
        </w:rPr>
      </w:pPr>
      <w:r>
        <w:rPr>
          <w:spacing w:val="-1"/>
        </w:rPr>
        <w:t>双方草拟合同→院</w:t>
      </w:r>
      <w:r>
        <w:t>（部</w:t>
      </w:r>
      <w:r>
        <w:rPr>
          <w:spacing w:val="-7"/>
        </w:rPr>
        <w:t>）</w:t>
      </w:r>
      <w:r>
        <w:t>审核→</w:t>
      </w:r>
      <w:r>
        <w:rPr>
          <w:rFonts w:hint="eastAsia"/>
        </w:rPr>
        <w:t>科研处</w:t>
      </w:r>
      <w:r>
        <w:t>审核→法</w:t>
      </w:r>
      <w:r>
        <w:rPr>
          <w:spacing w:val="11"/>
          <w:w w:val="95"/>
        </w:rPr>
        <w:t>律顾问审核→</w:t>
      </w:r>
      <w:r>
        <w:rPr>
          <w:rFonts w:hint="eastAsia"/>
          <w:lang w:val="en-US"/>
        </w:rPr>
        <w:t>分管校领导</w:t>
      </w:r>
      <w:r>
        <w:t>→</w:t>
      </w:r>
      <w:r>
        <w:rPr>
          <w:rFonts w:hint="eastAsia"/>
          <w:lang w:val="en-US"/>
        </w:rPr>
        <w:t>校长</w:t>
      </w:r>
      <w:r>
        <w:t>审核签字</w:t>
      </w:r>
      <w:r>
        <w:rPr>
          <w:spacing w:val="11"/>
          <w:w w:val="95"/>
        </w:rPr>
        <w:t>→双方协商订</w:t>
      </w:r>
      <w:r>
        <w:rPr>
          <w:spacing w:val="11"/>
        </w:rPr>
        <w:t>立合同→盖章。</w:t>
      </w:r>
    </w:p>
    <w:p w14:paraId="0A7EAB84">
      <w:pPr>
        <w:pStyle w:val="3"/>
        <w:keepNext w:val="0"/>
        <w:keepLines w:val="0"/>
        <w:pageBreakBefore w:val="0"/>
        <w:widowControl w:val="0"/>
        <w:tabs>
          <w:tab w:val="left" w:pos="2443"/>
        </w:tabs>
        <w:kinsoku/>
        <w:wordWrap/>
        <w:overflowPunct/>
        <w:topLinePunct w:val="0"/>
        <w:autoSpaceDE w:val="0"/>
        <w:autoSpaceDN w:val="0"/>
        <w:bidi w:val="0"/>
        <w:snapToGrid w:val="0"/>
        <w:spacing w:line="360" w:lineRule="auto"/>
        <w:textAlignment w:val="auto"/>
      </w:pPr>
      <w:r>
        <w:rPr>
          <w:b/>
          <w:spacing w:val="14"/>
        </w:rPr>
        <w:t>第</w:t>
      </w:r>
      <w:r>
        <w:rPr>
          <w:b/>
          <w:spacing w:val="17"/>
        </w:rPr>
        <w:t>十</w:t>
      </w:r>
      <w:r>
        <w:rPr>
          <w:rFonts w:hint="eastAsia"/>
          <w:b/>
          <w:spacing w:val="14"/>
          <w:lang w:val="en-US" w:eastAsia="zh-CN"/>
        </w:rPr>
        <w:t>二</w:t>
      </w:r>
      <w:r>
        <w:rPr>
          <w:b/>
        </w:rPr>
        <w:t>条</w:t>
      </w:r>
      <w:r>
        <w:rPr>
          <w:b/>
        </w:rPr>
        <w:tab/>
      </w:r>
      <w:r>
        <w:rPr>
          <w:spacing w:val="-1"/>
        </w:rPr>
        <w:t>项目预算</w:t>
      </w:r>
      <w:r>
        <w:rPr>
          <w:spacing w:val="-6"/>
        </w:rPr>
        <w:t>校内审签程序为：</w:t>
      </w:r>
    </w:p>
    <w:p w14:paraId="030C52D2">
      <w:pPr>
        <w:pStyle w:val="3"/>
        <w:keepNext w:val="0"/>
        <w:keepLines w:val="0"/>
        <w:pageBreakBefore w:val="0"/>
        <w:widowControl w:val="0"/>
        <w:kinsoku/>
        <w:wordWrap/>
        <w:overflowPunct/>
        <w:topLinePunct w:val="0"/>
        <w:autoSpaceDE w:val="0"/>
        <w:autoSpaceDN w:val="0"/>
        <w:bidi w:val="0"/>
        <w:snapToGrid w:val="0"/>
        <w:spacing w:line="360" w:lineRule="auto"/>
        <w:textAlignment w:val="auto"/>
      </w:pPr>
      <w:r>
        <w:rPr>
          <w:spacing w:val="-1"/>
        </w:rPr>
        <w:t>双方</w:t>
      </w:r>
      <w:r>
        <w:rPr>
          <w:rFonts w:hint="eastAsia"/>
          <w:spacing w:val="-1"/>
        </w:rPr>
        <w:t>约定</w:t>
      </w:r>
      <w:r>
        <w:rPr>
          <w:spacing w:val="-1"/>
        </w:rPr>
        <w:t>项目预算→院</w:t>
      </w:r>
      <w:r>
        <w:t>（部</w:t>
      </w:r>
      <w:r>
        <w:rPr>
          <w:spacing w:val="-7"/>
        </w:rPr>
        <w:t>）</w:t>
      </w:r>
      <w:r>
        <w:t>审核</w:t>
      </w:r>
      <w:r>
        <w:rPr>
          <w:spacing w:val="11"/>
        </w:rPr>
        <w:t>。</w:t>
      </w:r>
    </w:p>
    <w:p w14:paraId="17C6CDD4">
      <w:pPr>
        <w:pStyle w:val="3"/>
        <w:keepNext w:val="0"/>
        <w:keepLines w:val="0"/>
        <w:pageBreakBefore w:val="0"/>
        <w:widowControl w:val="0"/>
        <w:kinsoku/>
        <w:wordWrap/>
        <w:overflowPunct/>
        <w:topLinePunct w:val="0"/>
        <w:autoSpaceDE w:val="0"/>
        <w:autoSpaceDN w:val="0"/>
        <w:bidi w:val="0"/>
        <w:snapToGrid w:val="0"/>
        <w:spacing w:line="360" w:lineRule="auto"/>
        <w:ind w:right="280"/>
        <w:textAlignment w:val="auto"/>
      </w:pPr>
      <w:r>
        <w:rPr>
          <w:b/>
          <w:spacing w:val="36"/>
        </w:rPr>
        <w:t>第十</w:t>
      </w:r>
      <w:r>
        <w:rPr>
          <w:rFonts w:hint="eastAsia"/>
          <w:b/>
          <w:spacing w:val="36"/>
          <w:lang w:val="en-US" w:eastAsia="zh-CN"/>
        </w:rPr>
        <w:t>三</w:t>
      </w:r>
      <w:r>
        <w:rPr>
          <w:b/>
          <w:spacing w:val="36"/>
        </w:rPr>
        <w:t>条</w:t>
      </w:r>
      <w:r>
        <w:rPr>
          <w:rFonts w:hint="eastAsia"/>
          <w:b/>
          <w:spacing w:val="36"/>
        </w:rPr>
        <w:t xml:space="preserve"> </w:t>
      </w:r>
      <w:r>
        <w:rPr>
          <w:spacing w:val="-1"/>
          <w:w w:val="95"/>
        </w:rPr>
        <w:t>合同经</w:t>
      </w:r>
      <w:r>
        <w:rPr>
          <w:spacing w:val="-3"/>
          <w:w w:val="95"/>
        </w:rPr>
        <w:t>双方签订后，即具有法律约束力，</w:t>
      </w:r>
      <w:r>
        <w:rPr>
          <w:rFonts w:hint="eastAsia"/>
          <w:spacing w:val="-3"/>
          <w:w w:val="95"/>
        </w:rPr>
        <w:t>项目主持人（联系人）</w:t>
      </w:r>
      <w:r>
        <w:rPr>
          <w:spacing w:val="-3"/>
          <w:w w:val="95"/>
        </w:rPr>
        <w:t>承担履行合同</w:t>
      </w:r>
      <w:r>
        <w:rPr>
          <w:spacing w:val="-3"/>
        </w:rPr>
        <w:t>的直接责任，双方履行合同的过程和结果</w:t>
      </w:r>
      <w:r>
        <w:rPr>
          <w:spacing w:val="-4"/>
          <w:w w:val="95"/>
        </w:rPr>
        <w:t>。</w:t>
      </w:r>
      <w:r>
        <w:rPr>
          <w:rFonts w:hint="eastAsia"/>
          <w:spacing w:val="-4"/>
          <w:w w:val="95"/>
        </w:rPr>
        <w:t>未经学院批准签订的横向科研项目合同或签订合同后</w:t>
      </w:r>
      <w:r>
        <w:rPr>
          <w:rFonts w:hint="eastAsia"/>
          <w:spacing w:val="-4"/>
          <w:w w:val="95"/>
          <w:lang w:val="en-US" w:eastAsia="zh-CN"/>
        </w:rPr>
        <w:t>经费</w:t>
      </w:r>
      <w:r>
        <w:rPr>
          <w:rFonts w:hint="eastAsia"/>
          <w:spacing w:val="-4"/>
          <w:w w:val="95"/>
        </w:rPr>
        <w:t>未能到学院财务的项目，科研处不予认定和登记，不享受相关待遇。</w:t>
      </w:r>
    </w:p>
    <w:p w14:paraId="398EFC55">
      <w:pPr>
        <w:pStyle w:val="3"/>
        <w:keepNext w:val="0"/>
        <w:keepLines w:val="0"/>
        <w:pageBreakBefore w:val="0"/>
        <w:widowControl w:val="0"/>
        <w:tabs>
          <w:tab w:val="left" w:pos="1279"/>
        </w:tabs>
        <w:kinsoku/>
        <w:wordWrap/>
        <w:overflowPunct/>
        <w:topLinePunct w:val="0"/>
        <w:autoSpaceDE w:val="0"/>
        <w:autoSpaceDN w:val="0"/>
        <w:bidi w:val="0"/>
        <w:snapToGrid w:val="0"/>
        <w:spacing w:line="360" w:lineRule="auto"/>
        <w:ind w:left="0" w:right="159" w:firstLine="0"/>
        <w:jc w:val="center"/>
        <w:textAlignment w:val="auto"/>
        <w:rPr>
          <w:b/>
          <w:color w:val="C00000"/>
          <w:spacing w:val="14"/>
        </w:rPr>
      </w:pPr>
      <w:r>
        <w:rPr>
          <w:rFonts w:hint="eastAsia" w:ascii="黑体" w:eastAsia="黑体"/>
          <w:color w:val="C00000"/>
        </w:rPr>
        <w:t>第四章</w:t>
      </w:r>
      <w:r>
        <w:rPr>
          <w:rFonts w:hint="eastAsia" w:ascii="黑体" w:eastAsia="黑体"/>
          <w:color w:val="C00000"/>
        </w:rPr>
        <w:tab/>
      </w:r>
      <w:r>
        <w:rPr>
          <w:rFonts w:hint="eastAsia" w:ascii="黑体" w:eastAsia="黑体"/>
          <w:color w:val="C00000"/>
          <w:lang w:val="en-US" w:eastAsia="zh-CN"/>
        </w:rPr>
        <w:t>经费</w:t>
      </w:r>
      <w:r>
        <w:rPr>
          <w:rFonts w:hint="eastAsia" w:ascii="黑体" w:eastAsia="黑体"/>
          <w:color w:val="C00000"/>
        </w:rPr>
        <w:t>管理</w:t>
      </w:r>
      <w:r>
        <w:rPr>
          <w:rFonts w:hint="eastAsia" w:ascii="黑体" w:eastAsia="黑体"/>
          <w:color w:val="C00000"/>
          <w:lang w:val="en-US" w:eastAsia="zh-CN"/>
        </w:rPr>
        <w:t>与</w:t>
      </w:r>
      <w:r>
        <w:rPr>
          <w:rFonts w:hint="eastAsia" w:ascii="黑体" w:eastAsia="黑体"/>
          <w:color w:val="C00000"/>
        </w:rPr>
        <w:t>开支</w:t>
      </w:r>
    </w:p>
    <w:p w14:paraId="2FFF07E4">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rFonts w:hint="default" w:eastAsia="仿宋"/>
          <w:b/>
          <w:bCs w:val="0"/>
          <w:color w:val="C00000"/>
          <w:spacing w:val="-3"/>
          <w:lang w:val="en-US" w:eastAsia="zh-CN"/>
        </w:rPr>
      </w:pPr>
      <w:r>
        <w:rPr>
          <w:b/>
          <w:bCs w:val="0"/>
          <w:color w:val="C00000"/>
          <w:spacing w:val="29"/>
        </w:rPr>
        <w:t>第十</w:t>
      </w:r>
      <w:r>
        <w:rPr>
          <w:rFonts w:hint="eastAsia"/>
          <w:b/>
          <w:bCs w:val="0"/>
          <w:color w:val="C00000"/>
          <w:spacing w:val="29"/>
          <w:lang w:val="en-US" w:eastAsia="zh-CN"/>
        </w:rPr>
        <w:t>四</w:t>
      </w:r>
      <w:r>
        <w:rPr>
          <w:b/>
          <w:bCs w:val="0"/>
          <w:color w:val="C00000"/>
          <w:spacing w:val="29"/>
        </w:rPr>
        <w:t xml:space="preserve">条 </w:t>
      </w:r>
      <w:r>
        <w:rPr>
          <w:rFonts w:hint="eastAsia"/>
          <w:b/>
          <w:bCs w:val="0"/>
          <w:color w:val="C00000"/>
          <w:spacing w:val="-3"/>
        </w:rPr>
        <w:t>原则上</w:t>
      </w:r>
      <w:r>
        <w:rPr>
          <w:rFonts w:hint="eastAsia"/>
          <w:b/>
          <w:bCs w:val="0"/>
          <w:color w:val="C00000"/>
          <w:spacing w:val="-3"/>
          <w:lang w:val="en-US" w:eastAsia="zh-CN"/>
        </w:rPr>
        <w:t>学校不</w:t>
      </w:r>
      <w:r>
        <w:rPr>
          <w:rFonts w:hint="eastAsia"/>
          <w:b/>
          <w:bCs w:val="0"/>
          <w:color w:val="C00000"/>
          <w:spacing w:val="-3"/>
        </w:rPr>
        <w:t>提取横向科研项目管理费。</w:t>
      </w:r>
    </w:p>
    <w:p w14:paraId="3CDFF8BA">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rFonts w:hint="default" w:eastAsia="仿宋"/>
          <w:b/>
          <w:bCs w:val="0"/>
          <w:color w:val="C00000"/>
          <w:spacing w:val="-4"/>
          <w:lang w:val="en-US" w:eastAsia="zh-CN"/>
        </w:rPr>
      </w:pPr>
      <w:r>
        <w:rPr>
          <w:b/>
          <w:bCs w:val="0"/>
          <w:color w:val="C00000"/>
          <w:spacing w:val="29"/>
        </w:rPr>
        <w:t>第</w:t>
      </w:r>
      <w:r>
        <w:rPr>
          <w:rFonts w:hint="eastAsia"/>
          <w:b/>
          <w:bCs w:val="0"/>
          <w:color w:val="C00000"/>
          <w:spacing w:val="29"/>
          <w:lang w:val="en-US" w:eastAsia="zh-CN"/>
        </w:rPr>
        <w:t>十五</w:t>
      </w:r>
      <w:r>
        <w:rPr>
          <w:b/>
          <w:bCs w:val="0"/>
          <w:color w:val="C00000"/>
          <w:spacing w:val="29"/>
        </w:rPr>
        <w:t>条</w:t>
      </w:r>
      <w:r>
        <w:rPr>
          <w:rFonts w:hint="eastAsia"/>
          <w:b/>
          <w:bCs w:val="0"/>
          <w:color w:val="C00000"/>
          <w:spacing w:val="29"/>
          <w:lang w:val="en-US" w:eastAsia="zh-CN"/>
        </w:rPr>
        <w:t xml:space="preserve"> </w:t>
      </w:r>
      <w:r>
        <w:rPr>
          <w:rFonts w:hint="eastAsia"/>
          <w:b/>
          <w:bCs w:val="0"/>
          <w:color w:val="C00000"/>
          <w:spacing w:val="29"/>
        </w:rPr>
        <w:t>项目主持人（联系人）可向学院学术委员会申请，经认定的项目可得到项目到账经费</w:t>
      </w:r>
      <w:r>
        <w:rPr>
          <w:rFonts w:hint="eastAsia"/>
          <w:b/>
          <w:bCs w:val="0"/>
          <w:color w:val="C00000"/>
          <w:spacing w:val="29"/>
          <w:lang w:val="en-US" w:eastAsia="zh-CN"/>
        </w:rPr>
        <w:t>5</w:t>
      </w:r>
      <w:r>
        <w:rPr>
          <w:rFonts w:hint="eastAsia"/>
          <w:b/>
          <w:bCs w:val="0"/>
          <w:color w:val="C00000"/>
          <w:spacing w:val="29"/>
        </w:rPr>
        <w:t>%</w:t>
      </w:r>
      <w:r>
        <w:rPr>
          <w:rFonts w:hint="eastAsia"/>
          <w:b/>
          <w:bCs w:val="0"/>
          <w:color w:val="C00000"/>
          <w:spacing w:val="29"/>
          <w:lang w:val="en-US" w:eastAsia="zh-CN"/>
        </w:rPr>
        <w:t>-</w:t>
      </w:r>
      <w:r>
        <w:rPr>
          <w:rFonts w:hint="eastAsia"/>
          <w:b/>
          <w:bCs w:val="0"/>
          <w:color w:val="C00000"/>
          <w:spacing w:val="29"/>
        </w:rPr>
        <w:t>10%的</w:t>
      </w:r>
      <w:r>
        <w:rPr>
          <w:rFonts w:hint="eastAsia"/>
          <w:b/>
          <w:bCs w:val="0"/>
          <w:color w:val="C00000"/>
          <w:spacing w:val="29"/>
          <w:lang w:val="en-US" w:eastAsia="zh-CN"/>
        </w:rPr>
        <w:t>配套</w:t>
      </w:r>
      <w:r>
        <w:rPr>
          <w:rFonts w:hint="eastAsia"/>
          <w:b/>
          <w:bCs w:val="0"/>
          <w:color w:val="C00000"/>
          <w:spacing w:val="29"/>
        </w:rPr>
        <w:t>。</w:t>
      </w:r>
    </w:p>
    <w:p w14:paraId="24455A28">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b/>
          <w:bCs w:val="0"/>
          <w:color w:val="C00000"/>
        </w:rPr>
      </w:pPr>
      <w:r>
        <w:rPr>
          <w:b/>
          <w:bCs w:val="0"/>
          <w:color w:val="C00000"/>
          <w:spacing w:val="29"/>
        </w:rPr>
        <w:t>第</w:t>
      </w:r>
      <w:r>
        <w:rPr>
          <w:rFonts w:hint="eastAsia"/>
          <w:b/>
          <w:bCs w:val="0"/>
          <w:color w:val="C00000"/>
          <w:spacing w:val="29"/>
          <w:lang w:val="en-US" w:eastAsia="zh-CN"/>
        </w:rPr>
        <w:t>十六</w:t>
      </w:r>
      <w:r>
        <w:rPr>
          <w:b/>
          <w:bCs w:val="0"/>
          <w:color w:val="C00000"/>
          <w:spacing w:val="29"/>
        </w:rPr>
        <w:t>条</w:t>
      </w:r>
      <w:r>
        <w:rPr>
          <w:rFonts w:hint="eastAsia"/>
          <w:b/>
          <w:bCs w:val="0"/>
          <w:color w:val="C00000"/>
          <w:spacing w:val="29"/>
          <w:lang w:val="en-US" w:eastAsia="zh-CN"/>
        </w:rPr>
        <w:t xml:space="preserve"> </w:t>
      </w:r>
      <w:r>
        <w:rPr>
          <w:b/>
          <w:bCs w:val="0"/>
          <w:color w:val="C00000"/>
          <w:spacing w:val="-3"/>
        </w:rPr>
        <w:t>项目经费到账后，</w:t>
      </w:r>
      <w:r>
        <w:rPr>
          <w:rFonts w:hint="eastAsia"/>
          <w:b/>
          <w:bCs w:val="0"/>
          <w:color w:val="C00000"/>
          <w:spacing w:val="-4"/>
          <w:lang w:val="en-US"/>
        </w:rPr>
        <w:t>项目主持人（联系人）</w:t>
      </w:r>
      <w:r>
        <w:rPr>
          <w:rFonts w:hint="eastAsia"/>
          <w:b/>
          <w:bCs w:val="0"/>
          <w:color w:val="C00000"/>
          <w:spacing w:val="-4"/>
          <w:lang w:val="en-US" w:eastAsia="zh-CN"/>
        </w:rPr>
        <w:t>向科研处、财务处提交</w:t>
      </w:r>
      <w:r>
        <w:rPr>
          <w:rFonts w:hint="eastAsia"/>
          <w:b/>
          <w:bCs w:val="0"/>
          <w:color w:val="C00000"/>
          <w:spacing w:val="-4"/>
          <w:lang w:val="en-US"/>
        </w:rPr>
        <w:t>《合同》《项目</w:t>
      </w:r>
      <w:r>
        <w:rPr>
          <w:rFonts w:hint="eastAsia"/>
          <w:b/>
          <w:bCs w:val="0"/>
          <w:color w:val="C00000"/>
          <w:spacing w:val="-4"/>
          <w:lang w:val="en-US" w:eastAsia="zh-CN"/>
        </w:rPr>
        <w:t>经费</w:t>
      </w:r>
      <w:r>
        <w:rPr>
          <w:rFonts w:hint="eastAsia"/>
          <w:b/>
          <w:bCs w:val="0"/>
          <w:color w:val="C00000"/>
          <w:spacing w:val="-4"/>
          <w:lang w:val="en-US"/>
        </w:rPr>
        <w:t>预算审批表》</w:t>
      </w:r>
      <w:r>
        <w:rPr>
          <w:rFonts w:hint="eastAsia"/>
          <w:b/>
          <w:bCs w:val="0"/>
          <w:color w:val="C00000"/>
          <w:spacing w:val="-4"/>
          <w:lang w:val="en-US" w:eastAsia="zh-CN"/>
        </w:rPr>
        <w:t>等相关原件。由</w:t>
      </w:r>
      <w:r>
        <w:rPr>
          <w:rFonts w:hint="eastAsia"/>
          <w:b/>
          <w:bCs w:val="0"/>
          <w:color w:val="C00000"/>
          <w:spacing w:val="-4"/>
          <w:lang w:val="en-US"/>
        </w:rPr>
        <w:t>科研</w:t>
      </w:r>
      <w:r>
        <w:rPr>
          <w:rFonts w:hint="eastAsia"/>
          <w:b/>
          <w:bCs w:val="0"/>
          <w:color w:val="C00000"/>
          <w:spacing w:val="-4"/>
          <w:lang w:val="en-US" w:eastAsia="zh-CN"/>
        </w:rPr>
        <w:t>处办理</w:t>
      </w:r>
      <w:r>
        <w:rPr>
          <w:rFonts w:hint="eastAsia"/>
          <w:b/>
          <w:bCs w:val="0"/>
          <w:color w:val="C00000"/>
          <w:spacing w:val="-4"/>
          <w:lang w:val="en-US"/>
        </w:rPr>
        <w:t>项目及预算登记</w:t>
      </w:r>
      <w:r>
        <w:rPr>
          <w:rFonts w:hint="eastAsia"/>
          <w:b/>
          <w:bCs w:val="0"/>
          <w:color w:val="C00000"/>
          <w:spacing w:val="-4"/>
          <w:lang w:val="en-US" w:eastAsia="zh-CN"/>
        </w:rPr>
        <w:t>。</w:t>
      </w:r>
      <w:r>
        <w:rPr>
          <w:b/>
          <w:bCs w:val="0"/>
          <w:color w:val="C00000"/>
          <w:spacing w:val="-3"/>
        </w:rPr>
        <w:t>由</w:t>
      </w:r>
      <w:r>
        <w:rPr>
          <w:rFonts w:hint="eastAsia"/>
          <w:b/>
          <w:bCs w:val="0"/>
          <w:color w:val="C00000"/>
          <w:spacing w:val="-3"/>
          <w:lang w:val="en-US"/>
        </w:rPr>
        <w:t>财务处</w:t>
      </w:r>
      <w:r>
        <w:rPr>
          <w:rFonts w:hint="eastAsia"/>
          <w:b/>
          <w:bCs w:val="0"/>
          <w:color w:val="C00000"/>
          <w:spacing w:val="-4"/>
          <w:lang w:val="en-US"/>
        </w:rPr>
        <w:t>办理</w:t>
      </w:r>
      <w:r>
        <w:rPr>
          <w:b/>
          <w:bCs w:val="0"/>
          <w:color w:val="C00000"/>
          <w:spacing w:val="-3"/>
        </w:rPr>
        <w:t>开票</w:t>
      </w:r>
      <w:r>
        <w:rPr>
          <w:rFonts w:hint="eastAsia"/>
          <w:b/>
          <w:bCs w:val="0"/>
          <w:color w:val="C00000"/>
          <w:spacing w:val="-3"/>
          <w:lang w:eastAsia="zh-CN"/>
        </w:rPr>
        <w:t>、</w:t>
      </w:r>
      <w:r>
        <w:rPr>
          <w:rFonts w:hint="eastAsia"/>
          <w:b/>
          <w:bCs w:val="0"/>
          <w:color w:val="C00000"/>
          <w:spacing w:val="-4"/>
          <w:lang w:val="en-US"/>
        </w:rPr>
        <w:t>入账及预算追加手续</w:t>
      </w:r>
      <w:r>
        <w:rPr>
          <w:rFonts w:hint="eastAsia"/>
          <w:b/>
          <w:bCs w:val="0"/>
          <w:color w:val="C00000"/>
          <w:spacing w:val="-3"/>
          <w:lang w:eastAsia="zh-CN"/>
        </w:rPr>
        <w:t>。</w:t>
      </w:r>
      <w:r>
        <w:rPr>
          <w:rFonts w:hint="eastAsia"/>
          <w:b/>
          <w:bCs w:val="0"/>
          <w:color w:val="C00000"/>
          <w:spacing w:val="-3"/>
          <w:lang w:val="en-US" w:eastAsia="zh-CN"/>
        </w:rPr>
        <w:t>其中</w:t>
      </w:r>
      <w:r>
        <w:rPr>
          <w:b/>
          <w:bCs w:val="0"/>
          <w:color w:val="C00000"/>
          <w:spacing w:val="-3"/>
        </w:rPr>
        <w:t>涉税</w:t>
      </w:r>
      <w:r>
        <w:rPr>
          <w:b/>
          <w:bCs w:val="0"/>
          <w:color w:val="C00000"/>
          <w:spacing w:val="-4"/>
        </w:rPr>
        <w:t>问题按国家相关规定执行</w:t>
      </w:r>
      <w:r>
        <w:rPr>
          <w:rFonts w:hint="eastAsia"/>
          <w:b/>
          <w:bCs w:val="0"/>
          <w:color w:val="C00000"/>
          <w:spacing w:val="-4"/>
          <w:lang w:val="en-US" w:eastAsia="zh-CN"/>
        </w:rPr>
        <w:t>，费用从项目经费中支出</w:t>
      </w:r>
      <w:r>
        <w:rPr>
          <w:rFonts w:hint="eastAsia"/>
          <w:b/>
          <w:bCs w:val="0"/>
          <w:color w:val="C00000"/>
          <w:spacing w:val="-4"/>
          <w:lang w:val="en-US"/>
        </w:rPr>
        <w:t>。</w:t>
      </w:r>
    </w:p>
    <w:p w14:paraId="3EC597B4">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b/>
          <w:bCs w:val="0"/>
          <w:color w:val="C00000"/>
          <w:spacing w:val="29"/>
        </w:rPr>
      </w:pPr>
      <w:r>
        <w:rPr>
          <w:b/>
          <w:bCs w:val="0"/>
          <w:color w:val="C00000"/>
          <w:spacing w:val="29"/>
        </w:rPr>
        <w:t>第</w:t>
      </w:r>
      <w:r>
        <w:rPr>
          <w:rFonts w:hint="eastAsia"/>
          <w:b/>
          <w:bCs w:val="0"/>
          <w:color w:val="C00000"/>
          <w:spacing w:val="29"/>
          <w:lang w:val="en-US" w:eastAsia="zh-CN"/>
        </w:rPr>
        <w:t>十七</w:t>
      </w:r>
      <w:r>
        <w:rPr>
          <w:b/>
          <w:bCs w:val="0"/>
          <w:color w:val="C00000"/>
          <w:spacing w:val="29"/>
        </w:rPr>
        <w:t>条 强化项目外拨</w:t>
      </w:r>
      <w:r>
        <w:rPr>
          <w:rFonts w:hint="eastAsia"/>
          <w:b/>
          <w:bCs w:val="0"/>
          <w:color w:val="C00000"/>
          <w:spacing w:val="29"/>
          <w:lang w:eastAsia="zh-CN"/>
        </w:rPr>
        <w:t>经费</w:t>
      </w:r>
      <w:r>
        <w:rPr>
          <w:b/>
          <w:bCs w:val="0"/>
          <w:color w:val="C00000"/>
          <w:spacing w:val="29"/>
        </w:rPr>
        <w:t>的监督管理。外拨</w:t>
      </w:r>
      <w:r>
        <w:rPr>
          <w:rFonts w:hint="eastAsia"/>
          <w:b/>
          <w:bCs w:val="0"/>
          <w:color w:val="C00000"/>
          <w:spacing w:val="29"/>
          <w:lang w:eastAsia="zh-CN"/>
        </w:rPr>
        <w:t>经费</w:t>
      </w:r>
      <w:r>
        <w:rPr>
          <w:b/>
          <w:bCs w:val="0"/>
          <w:color w:val="C00000"/>
          <w:spacing w:val="29"/>
        </w:rPr>
        <w:t>事宜应当体现在立项合同中，或取得项目委托人的授权许可。项目</w:t>
      </w:r>
      <w:r>
        <w:rPr>
          <w:rFonts w:hint="eastAsia"/>
          <w:b/>
          <w:bCs w:val="0"/>
          <w:color w:val="C00000"/>
          <w:spacing w:val="29"/>
          <w:lang w:eastAsia="zh-CN"/>
        </w:rPr>
        <w:t>经费</w:t>
      </w:r>
      <w:r>
        <w:rPr>
          <w:b/>
          <w:bCs w:val="0"/>
          <w:color w:val="C00000"/>
          <w:spacing w:val="29"/>
        </w:rPr>
        <w:t>外拨时必须与第三方协作单位签订合同，同时向</w:t>
      </w:r>
      <w:r>
        <w:rPr>
          <w:rFonts w:hint="eastAsia"/>
          <w:b/>
          <w:bCs w:val="0"/>
          <w:color w:val="C00000"/>
          <w:spacing w:val="29"/>
        </w:rPr>
        <w:t>科研处</w:t>
      </w:r>
      <w:r>
        <w:rPr>
          <w:b/>
          <w:bCs w:val="0"/>
          <w:color w:val="C00000"/>
          <w:spacing w:val="29"/>
        </w:rPr>
        <w:t>提供第三方协作单位的法人登记证书等资质文件。不得假借协作科研之名，将项目</w:t>
      </w:r>
      <w:r>
        <w:rPr>
          <w:rFonts w:hint="eastAsia"/>
          <w:b/>
          <w:bCs w:val="0"/>
          <w:color w:val="C00000"/>
          <w:spacing w:val="29"/>
          <w:lang w:eastAsia="zh-CN"/>
        </w:rPr>
        <w:t>经费</w:t>
      </w:r>
      <w:r>
        <w:rPr>
          <w:b/>
          <w:bCs w:val="0"/>
          <w:color w:val="C00000"/>
          <w:spacing w:val="29"/>
        </w:rPr>
        <w:t>外拨至与其有直接经济利益关系的关联单位。</w:t>
      </w:r>
    </w:p>
    <w:p w14:paraId="29AE8145">
      <w:pPr>
        <w:pStyle w:val="3"/>
        <w:keepNext w:val="0"/>
        <w:keepLines w:val="0"/>
        <w:pageBreakBefore w:val="0"/>
        <w:widowControl w:val="0"/>
        <w:kinsoku/>
        <w:wordWrap/>
        <w:overflowPunct/>
        <w:topLinePunct w:val="0"/>
        <w:autoSpaceDE w:val="0"/>
        <w:autoSpaceDN w:val="0"/>
        <w:bidi w:val="0"/>
        <w:snapToGrid w:val="0"/>
        <w:spacing w:line="360" w:lineRule="auto"/>
        <w:ind w:right="280"/>
        <w:textAlignment w:val="auto"/>
        <w:rPr>
          <w:rFonts w:hint="eastAsia" w:eastAsia="仿宋"/>
          <w:b/>
          <w:bCs w:val="0"/>
          <w:color w:val="C00000"/>
          <w:spacing w:val="11"/>
          <w:w w:val="95"/>
          <w:lang w:eastAsia="zh-CN"/>
        </w:rPr>
      </w:pPr>
      <w:r>
        <w:rPr>
          <w:rFonts w:hint="eastAsia"/>
          <w:b/>
          <w:bCs w:val="0"/>
          <w:color w:val="C00000"/>
          <w:spacing w:val="36"/>
        </w:rPr>
        <w:t>第十</w:t>
      </w:r>
      <w:r>
        <w:rPr>
          <w:rFonts w:hint="eastAsia"/>
          <w:b/>
          <w:bCs w:val="0"/>
          <w:color w:val="C00000"/>
          <w:spacing w:val="36"/>
          <w:lang w:val="en-US" w:eastAsia="zh-CN"/>
        </w:rPr>
        <w:t>八</w:t>
      </w:r>
      <w:r>
        <w:rPr>
          <w:rFonts w:hint="eastAsia"/>
          <w:b/>
          <w:bCs w:val="0"/>
          <w:color w:val="C00000"/>
          <w:spacing w:val="36"/>
        </w:rPr>
        <w:t>条</w:t>
      </w:r>
      <w:r>
        <w:rPr>
          <w:rFonts w:hint="eastAsia"/>
          <w:b/>
          <w:bCs w:val="0"/>
          <w:color w:val="C00000"/>
          <w:spacing w:val="11"/>
          <w:w w:val="95"/>
        </w:rPr>
        <w:t xml:space="preserve"> </w:t>
      </w:r>
      <w:r>
        <w:rPr>
          <w:rFonts w:hint="eastAsia"/>
          <w:b/>
          <w:bCs w:val="0"/>
          <w:color w:val="C00000"/>
          <w:spacing w:val="11"/>
          <w:w w:val="95"/>
          <w:lang w:val="en-US" w:eastAsia="zh-CN"/>
        </w:rPr>
        <w:t>横向科研项目</w:t>
      </w:r>
      <w:r>
        <w:rPr>
          <w:rFonts w:hint="eastAsia"/>
          <w:b/>
          <w:bCs w:val="0"/>
          <w:color w:val="C00000"/>
          <w:spacing w:val="11"/>
          <w:w w:val="95"/>
        </w:rPr>
        <w:t>经费开支涵盖纵向经费开支范围</w:t>
      </w:r>
      <w:r>
        <w:rPr>
          <w:rFonts w:hint="eastAsia"/>
          <w:b/>
          <w:bCs w:val="0"/>
          <w:color w:val="C00000"/>
          <w:spacing w:val="11"/>
          <w:w w:val="95"/>
          <w:lang w:eastAsia="zh-CN"/>
        </w:rPr>
        <w:t>。</w:t>
      </w:r>
      <w:r>
        <w:rPr>
          <w:rFonts w:hint="eastAsia"/>
          <w:b/>
          <w:bCs w:val="0"/>
          <w:color w:val="C00000"/>
          <w:spacing w:val="11"/>
          <w:w w:val="95"/>
          <w:lang w:val="en-US" w:eastAsia="zh-CN"/>
        </w:rPr>
        <w:t>有合同约定的，可按合同或预算约定</w:t>
      </w:r>
      <w:r>
        <w:rPr>
          <w:rFonts w:hint="eastAsia"/>
          <w:b/>
          <w:bCs w:val="0"/>
          <w:color w:val="C00000"/>
          <w:spacing w:val="11"/>
          <w:w w:val="95"/>
        </w:rPr>
        <w:t>的开支范围和科目开支额度执行</w:t>
      </w:r>
      <w:r>
        <w:rPr>
          <w:rFonts w:hint="eastAsia"/>
          <w:b/>
          <w:bCs w:val="0"/>
          <w:color w:val="C00000"/>
          <w:spacing w:val="11"/>
          <w:w w:val="95"/>
          <w:lang w:eastAsia="zh-CN"/>
        </w:rPr>
        <w:t>，</w:t>
      </w:r>
      <w:r>
        <w:rPr>
          <w:rFonts w:hint="eastAsia"/>
          <w:b/>
          <w:bCs w:val="0"/>
          <w:color w:val="C00000"/>
          <w:spacing w:val="11"/>
          <w:w w:val="95"/>
          <w:lang w:val="en-US" w:eastAsia="zh-CN"/>
        </w:rPr>
        <w:t>但</w:t>
      </w:r>
      <w:r>
        <w:rPr>
          <w:rFonts w:hint="eastAsia"/>
          <w:b/>
          <w:bCs w:val="0"/>
          <w:color w:val="C00000"/>
          <w:spacing w:val="11"/>
          <w:w w:val="95"/>
        </w:rPr>
        <w:t>不得列支与项目工作无直接关系的费</w:t>
      </w:r>
      <w:r>
        <w:rPr>
          <w:rFonts w:hint="eastAsia"/>
          <w:b/>
          <w:bCs w:val="0"/>
          <w:color w:val="C00000"/>
          <w:spacing w:val="11"/>
          <w:w w:val="95"/>
          <w:lang w:val="en-US" w:eastAsia="zh-CN"/>
        </w:rPr>
        <w:t>用</w:t>
      </w:r>
      <w:r>
        <w:rPr>
          <w:rFonts w:hint="eastAsia"/>
          <w:b/>
          <w:bCs w:val="0"/>
          <w:color w:val="C00000"/>
          <w:spacing w:val="11"/>
          <w:w w:val="95"/>
          <w:lang w:eastAsia="zh-CN"/>
        </w:rPr>
        <w:t>。</w:t>
      </w:r>
    </w:p>
    <w:p w14:paraId="2075A3F6">
      <w:pPr>
        <w:pStyle w:val="3"/>
        <w:keepNext w:val="0"/>
        <w:keepLines w:val="0"/>
        <w:pageBreakBefore w:val="0"/>
        <w:widowControl w:val="0"/>
        <w:kinsoku/>
        <w:wordWrap/>
        <w:overflowPunct/>
        <w:topLinePunct w:val="0"/>
        <w:autoSpaceDE w:val="0"/>
        <w:autoSpaceDN w:val="0"/>
        <w:bidi w:val="0"/>
        <w:snapToGrid w:val="0"/>
        <w:spacing w:line="360" w:lineRule="auto"/>
        <w:ind w:right="280"/>
        <w:textAlignment w:val="auto"/>
        <w:rPr>
          <w:rFonts w:hint="eastAsia"/>
          <w:b/>
          <w:bCs w:val="0"/>
          <w:color w:val="C00000"/>
          <w:spacing w:val="11"/>
          <w:w w:val="95"/>
        </w:rPr>
      </w:pPr>
      <w:r>
        <w:rPr>
          <w:rFonts w:hint="eastAsia"/>
          <w:b/>
          <w:bCs w:val="0"/>
          <w:color w:val="C00000"/>
          <w:spacing w:val="36"/>
          <w:lang w:val="en-US" w:eastAsia="zh-CN"/>
        </w:rPr>
        <w:t>（一）</w:t>
      </w:r>
      <w:r>
        <w:rPr>
          <w:rFonts w:hint="eastAsia"/>
          <w:b/>
          <w:bCs w:val="0"/>
          <w:color w:val="C00000"/>
          <w:spacing w:val="11"/>
          <w:w w:val="95"/>
        </w:rPr>
        <w:t xml:space="preserve"> 横向科研项目科研绩效费（现金奖励）</w:t>
      </w:r>
      <w:r>
        <w:rPr>
          <w:rFonts w:hint="eastAsia"/>
          <w:b/>
          <w:bCs w:val="0"/>
          <w:color w:val="C00000"/>
          <w:spacing w:val="11"/>
          <w:w w:val="95"/>
          <w:lang w:val="en-US" w:eastAsia="zh-CN"/>
        </w:rPr>
        <w:t>开支原则上不超过项目总经费的50%</w:t>
      </w:r>
      <w:r>
        <w:rPr>
          <w:rFonts w:hint="eastAsia"/>
          <w:b/>
          <w:bCs w:val="0"/>
          <w:color w:val="C00000"/>
          <w:spacing w:val="11"/>
          <w:w w:val="95"/>
        </w:rPr>
        <w:t>。科研绩效由项目负责人按照项目组成员贡献大小，根据科研项目实际进展情况按年度或分次发放形式提出分配方案、编制清单、发放科研绩效。科研绩效须通过转账方式转入个人银行卡，不得支付现金。科研绩效支出一次性计入当年依托单位绩效工资总量，但不受核定的单位绩效工资总量限制，不作为核定下一年度绩效工资总量的基数，不作为社会保险费缴纳基数。</w:t>
      </w:r>
    </w:p>
    <w:p w14:paraId="3A02DD38">
      <w:pPr>
        <w:pStyle w:val="3"/>
        <w:keepNext w:val="0"/>
        <w:keepLines w:val="0"/>
        <w:pageBreakBefore w:val="0"/>
        <w:widowControl w:val="0"/>
        <w:kinsoku/>
        <w:wordWrap/>
        <w:overflowPunct/>
        <w:topLinePunct w:val="0"/>
        <w:autoSpaceDE w:val="0"/>
        <w:autoSpaceDN w:val="0"/>
        <w:bidi w:val="0"/>
        <w:snapToGrid w:val="0"/>
        <w:spacing w:line="360" w:lineRule="auto"/>
        <w:ind w:right="280"/>
        <w:textAlignment w:val="auto"/>
        <w:rPr>
          <w:rFonts w:hint="eastAsia"/>
          <w:b/>
          <w:bCs w:val="0"/>
          <w:color w:val="C00000"/>
          <w:spacing w:val="11"/>
          <w:w w:val="95"/>
          <w:lang w:val="en-US" w:eastAsia="zh-CN"/>
        </w:rPr>
      </w:pPr>
      <w:r>
        <w:rPr>
          <w:rFonts w:hint="eastAsia"/>
          <w:b/>
          <w:bCs w:val="0"/>
          <w:color w:val="C00000"/>
          <w:spacing w:val="36"/>
          <w:lang w:eastAsia="zh-CN"/>
        </w:rPr>
        <w:t>（</w:t>
      </w:r>
      <w:r>
        <w:rPr>
          <w:rFonts w:hint="eastAsia"/>
          <w:b/>
          <w:bCs w:val="0"/>
          <w:color w:val="C00000"/>
          <w:spacing w:val="36"/>
          <w:lang w:val="en-US" w:eastAsia="zh-CN"/>
        </w:rPr>
        <w:t>二</w:t>
      </w:r>
      <w:r>
        <w:rPr>
          <w:rFonts w:hint="eastAsia"/>
          <w:b/>
          <w:bCs w:val="0"/>
          <w:color w:val="C00000"/>
          <w:spacing w:val="36"/>
          <w:lang w:eastAsia="zh-CN"/>
        </w:rPr>
        <w:t>）</w:t>
      </w:r>
      <w:r>
        <w:rPr>
          <w:rFonts w:hint="eastAsia"/>
          <w:b/>
          <w:bCs w:val="0"/>
          <w:color w:val="C00000"/>
          <w:spacing w:val="36"/>
          <w:lang w:val="en-US" w:eastAsia="zh-CN"/>
        </w:rPr>
        <w:t xml:space="preserve"> </w:t>
      </w:r>
      <w:r>
        <w:rPr>
          <w:rFonts w:hint="eastAsia"/>
          <w:b/>
          <w:bCs w:val="0"/>
          <w:color w:val="C00000"/>
          <w:spacing w:val="11"/>
          <w:w w:val="95"/>
          <w:lang w:val="en-US" w:eastAsia="zh-CN"/>
        </w:rPr>
        <w:t>横向科研项目科研业务接待费及车辆维护使用费等开支原则上不超过项目总经费的20%。接待费凭餐饮发票和支付凭证进行报销，但不得列支纪念品、礼品、烟、酒等。接待费用餐费不超过150元/人次；车辆维护使用费可凭油票、过路费等票据进行报销，原则上不超过2元/公里。</w:t>
      </w:r>
    </w:p>
    <w:p w14:paraId="461DEF05">
      <w:pPr>
        <w:pStyle w:val="3"/>
        <w:keepNext w:val="0"/>
        <w:keepLines w:val="0"/>
        <w:pageBreakBefore w:val="0"/>
        <w:widowControl w:val="0"/>
        <w:kinsoku/>
        <w:wordWrap/>
        <w:overflowPunct/>
        <w:topLinePunct w:val="0"/>
        <w:autoSpaceDE w:val="0"/>
        <w:autoSpaceDN w:val="0"/>
        <w:bidi w:val="0"/>
        <w:snapToGrid w:val="0"/>
        <w:spacing w:line="360" w:lineRule="auto"/>
        <w:ind w:right="280"/>
        <w:textAlignment w:val="auto"/>
        <w:rPr>
          <w:rFonts w:hint="eastAsia"/>
          <w:b/>
          <w:bCs w:val="0"/>
          <w:color w:val="C00000"/>
          <w:spacing w:val="11"/>
          <w:w w:val="95"/>
          <w:lang w:val="en-US" w:eastAsia="zh-CN"/>
        </w:rPr>
      </w:pPr>
      <w:r>
        <w:rPr>
          <w:rFonts w:hint="eastAsia"/>
          <w:b/>
          <w:bCs w:val="0"/>
          <w:color w:val="C00000"/>
          <w:spacing w:val="11"/>
          <w:w w:val="95"/>
          <w:lang w:val="en-US" w:eastAsia="zh-CN"/>
        </w:rPr>
        <w:t>（三）横向科研项目经费支出可不纳入公务卡结算管理。原则上不允许现金交易，可以采取银行卡、转账方式支付、电子支付等方式，并保留支付凭据。最大限度减少现金使用。</w:t>
      </w:r>
    </w:p>
    <w:p w14:paraId="128EBC32">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color w:val="4F81BD" w:themeColor="accent1"/>
          <w14:textFill>
            <w14:solidFill>
              <w14:schemeClr w14:val="accent1"/>
            </w14:solidFill>
          </w14:textFill>
        </w:rPr>
      </w:pPr>
      <w:r>
        <w:rPr>
          <w:b/>
          <w:spacing w:val="29"/>
        </w:rPr>
        <w:t>第</w:t>
      </w:r>
      <w:r>
        <w:rPr>
          <w:rFonts w:hint="eastAsia"/>
          <w:b/>
          <w:spacing w:val="29"/>
          <w:lang w:val="en-US"/>
        </w:rPr>
        <w:t>十</w:t>
      </w:r>
      <w:r>
        <w:rPr>
          <w:rFonts w:hint="eastAsia"/>
          <w:b/>
          <w:spacing w:val="29"/>
          <w:lang w:val="en-US" w:eastAsia="zh-CN"/>
        </w:rPr>
        <w:t>九</w:t>
      </w:r>
      <w:r>
        <w:rPr>
          <w:b/>
          <w:spacing w:val="29"/>
        </w:rPr>
        <w:t>条</w:t>
      </w:r>
      <w:r>
        <w:rPr>
          <w:rFonts w:hint="eastAsia"/>
          <w:b/>
          <w:spacing w:val="29"/>
          <w:lang w:val="en-US" w:eastAsia="zh-CN"/>
        </w:rPr>
        <w:t xml:space="preserve"> </w:t>
      </w:r>
      <w:r>
        <w:rPr>
          <w:rFonts w:hint="eastAsia"/>
          <w:lang w:val="en-US" w:eastAsia="zh-CN"/>
        </w:rPr>
        <w:t xml:space="preserve"> 经费预算一经审核确认，原则上不予调整。项目执行期内，确需调整由项目主持人（联系人）提出申请，经项目委托方、科研处签字盖章同意后，报财务处备案。</w:t>
      </w:r>
    </w:p>
    <w:p w14:paraId="4AC8974C">
      <w:pPr>
        <w:pStyle w:val="3"/>
        <w:keepNext w:val="0"/>
        <w:keepLines w:val="0"/>
        <w:pageBreakBefore w:val="0"/>
        <w:widowControl w:val="0"/>
        <w:kinsoku/>
        <w:wordWrap/>
        <w:overflowPunct/>
        <w:topLinePunct w:val="0"/>
        <w:autoSpaceDE w:val="0"/>
        <w:autoSpaceDN w:val="0"/>
        <w:bidi w:val="0"/>
        <w:snapToGrid w:val="0"/>
        <w:spacing w:line="360" w:lineRule="auto"/>
        <w:ind w:right="276"/>
        <w:textAlignment w:val="auto"/>
        <w:rPr>
          <w:spacing w:val="-5"/>
        </w:rPr>
      </w:pPr>
      <w:r>
        <w:rPr>
          <w:b/>
          <w:spacing w:val="29"/>
        </w:rPr>
        <w:t>第</w:t>
      </w:r>
      <w:r>
        <w:rPr>
          <w:rFonts w:hint="eastAsia"/>
          <w:b/>
          <w:spacing w:val="29"/>
          <w:lang w:val="en-US"/>
        </w:rPr>
        <w:t>二十</w:t>
      </w:r>
      <w:r>
        <w:rPr>
          <w:b/>
          <w:spacing w:val="29"/>
        </w:rPr>
        <w:t>条</w:t>
      </w:r>
      <w:r>
        <w:rPr>
          <w:rFonts w:hint="eastAsia"/>
          <w:b/>
          <w:spacing w:val="29"/>
          <w:lang w:val="en-US" w:eastAsia="zh-CN"/>
        </w:rPr>
        <w:t xml:space="preserve"> </w:t>
      </w:r>
      <w:r>
        <w:rPr>
          <w:rFonts w:hint="eastAsia"/>
          <w:spacing w:val="-5"/>
        </w:rPr>
        <w:t>原则上项目经费使用率在结题前应控制在90%以下。</w:t>
      </w:r>
    </w:p>
    <w:p w14:paraId="77CB8821">
      <w:pPr>
        <w:pStyle w:val="3"/>
        <w:keepNext w:val="0"/>
        <w:keepLines w:val="0"/>
        <w:pageBreakBefore w:val="0"/>
        <w:widowControl w:val="0"/>
        <w:kinsoku/>
        <w:wordWrap/>
        <w:overflowPunct/>
        <w:topLinePunct w:val="0"/>
        <w:autoSpaceDE w:val="0"/>
        <w:autoSpaceDN w:val="0"/>
        <w:bidi w:val="0"/>
        <w:snapToGrid w:val="0"/>
        <w:spacing w:line="360" w:lineRule="auto"/>
        <w:ind w:right="276"/>
        <w:textAlignment w:val="auto"/>
        <w:rPr>
          <w:rFonts w:hint="eastAsia"/>
          <w:spacing w:val="-5"/>
          <w:lang w:val="zh-CN" w:eastAsia="zh-CN"/>
        </w:rPr>
      </w:pPr>
      <w:r>
        <w:rPr>
          <w:b/>
          <w:spacing w:val="29"/>
        </w:rPr>
        <w:t>第二十</w:t>
      </w:r>
      <w:r>
        <w:rPr>
          <w:rFonts w:hint="eastAsia"/>
          <w:b/>
          <w:spacing w:val="29"/>
          <w:lang w:val="en-US" w:eastAsia="zh-CN"/>
        </w:rPr>
        <w:t>一</w:t>
      </w:r>
      <w:r>
        <w:rPr>
          <w:b/>
          <w:spacing w:val="29"/>
        </w:rPr>
        <w:t>条</w:t>
      </w:r>
      <w:r>
        <w:rPr>
          <w:rFonts w:hint="eastAsia"/>
          <w:b/>
          <w:spacing w:val="29"/>
          <w:lang w:val="en-US" w:eastAsia="zh-CN"/>
        </w:rPr>
        <w:t xml:space="preserve"> </w:t>
      </w:r>
      <w:r>
        <w:rPr>
          <w:rFonts w:hint="eastAsia"/>
          <w:spacing w:val="-5"/>
          <w:lang w:val="zh-CN" w:eastAsia="zh-CN"/>
        </w:rPr>
        <w:t>科研仪器设备、耗材采购可参照以下标准执行：</w:t>
      </w:r>
    </w:p>
    <w:p w14:paraId="4901F286">
      <w:pPr>
        <w:keepNext w:val="0"/>
        <w:keepLines w:val="0"/>
        <w:pageBreakBefore w:val="0"/>
        <w:widowControl w:val="0"/>
        <w:kinsoku/>
        <w:wordWrap/>
        <w:overflowPunct/>
        <w:topLinePunct w:val="0"/>
        <w:autoSpaceDE w:val="0"/>
        <w:autoSpaceDN w:val="0"/>
        <w:bidi w:val="0"/>
        <w:adjustRightInd/>
        <w:snapToGrid w:val="0"/>
        <w:spacing w:line="360" w:lineRule="auto"/>
        <w:ind w:firstLine="620" w:firstLineChars="200"/>
        <w:jc w:val="both"/>
        <w:textAlignment w:val="auto"/>
        <w:rPr>
          <w:rFonts w:hint="eastAsia" w:ascii="仿宋" w:hAnsi="仿宋" w:eastAsia="仿宋" w:cs="仿宋"/>
          <w:color w:val="C00000"/>
          <w:spacing w:val="-5"/>
          <w:sz w:val="32"/>
          <w:szCs w:val="32"/>
          <w:lang w:val="zh-CN" w:eastAsia="zh-CN" w:bidi="zh-CN"/>
        </w:rPr>
      </w:pPr>
      <w:r>
        <w:rPr>
          <w:rFonts w:hint="eastAsia" w:ascii="仿宋" w:hAnsi="仿宋" w:eastAsia="仿宋" w:cs="仿宋"/>
          <w:color w:val="C00000"/>
          <w:spacing w:val="-5"/>
          <w:sz w:val="32"/>
          <w:szCs w:val="32"/>
          <w:lang w:val="zh-CN" w:eastAsia="zh-CN" w:bidi="zh-CN"/>
        </w:rPr>
        <w:t>（一）科研经费涉及财政性资金的采购项目，参照学院政府采购管理办法执行。</w:t>
      </w:r>
    </w:p>
    <w:p w14:paraId="2B876B81">
      <w:pPr>
        <w:keepNext w:val="0"/>
        <w:keepLines w:val="0"/>
        <w:pageBreakBefore w:val="0"/>
        <w:widowControl w:val="0"/>
        <w:kinsoku/>
        <w:wordWrap/>
        <w:overflowPunct/>
        <w:topLinePunct w:val="0"/>
        <w:autoSpaceDE w:val="0"/>
        <w:autoSpaceDN w:val="0"/>
        <w:bidi w:val="0"/>
        <w:adjustRightInd/>
        <w:snapToGrid w:val="0"/>
        <w:spacing w:line="360" w:lineRule="auto"/>
        <w:ind w:firstLine="620" w:firstLineChars="200"/>
        <w:jc w:val="both"/>
        <w:textAlignment w:val="auto"/>
        <w:rPr>
          <w:rFonts w:hint="eastAsia" w:ascii="仿宋" w:hAnsi="仿宋" w:eastAsia="仿宋" w:cs="仿宋"/>
          <w:color w:val="C00000"/>
          <w:spacing w:val="-5"/>
          <w:sz w:val="32"/>
          <w:szCs w:val="32"/>
          <w:lang w:val="zh-CN" w:eastAsia="zh-CN" w:bidi="zh-CN"/>
        </w:rPr>
      </w:pPr>
      <w:r>
        <w:rPr>
          <w:rFonts w:hint="eastAsia" w:ascii="仿宋" w:hAnsi="仿宋" w:eastAsia="仿宋" w:cs="仿宋"/>
          <w:color w:val="C00000"/>
          <w:spacing w:val="-5"/>
          <w:sz w:val="32"/>
          <w:szCs w:val="32"/>
          <w:lang w:val="zh-CN" w:eastAsia="zh-CN" w:bidi="zh-CN"/>
        </w:rPr>
        <w:t>（二）双方合同有约定的，按照国家有关政策执行，</w:t>
      </w:r>
      <w:r>
        <w:rPr>
          <w:rFonts w:hint="eastAsia" w:ascii="仿宋" w:hAnsi="仿宋" w:eastAsia="仿宋" w:cs="仿宋"/>
          <w:color w:val="C00000"/>
          <w:spacing w:val="-5"/>
          <w:sz w:val="32"/>
          <w:szCs w:val="32"/>
          <w:lang w:val="en-US" w:eastAsia="zh-CN" w:bidi="zh-CN"/>
        </w:rPr>
        <w:t>可不受政府采购管理办法</w:t>
      </w:r>
      <w:r>
        <w:rPr>
          <w:rFonts w:hint="eastAsia" w:cs="仿宋"/>
          <w:color w:val="C00000"/>
          <w:spacing w:val="-5"/>
          <w:sz w:val="32"/>
          <w:szCs w:val="32"/>
          <w:lang w:val="en-US" w:eastAsia="zh-CN" w:bidi="zh-CN"/>
        </w:rPr>
        <w:t>、电子卖场管理办法</w:t>
      </w:r>
      <w:r>
        <w:rPr>
          <w:rFonts w:hint="eastAsia" w:ascii="仿宋" w:hAnsi="仿宋" w:eastAsia="仿宋" w:cs="仿宋"/>
          <w:color w:val="C00000"/>
          <w:spacing w:val="-5"/>
          <w:sz w:val="32"/>
          <w:szCs w:val="32"/>
          <w:lang w:val="en-US" w:eastAsia="zh-CN" w:bidi="zh-CN"/>
        </w:rPr>
        <w:t>约束</w:t>
      </w:r>
      <w:r>
        <w:rPr>
          <w:rFonts w:hint="eastAsia" w:ascii="仿宋" w:hAnsi="仿宋" w:eastAsia="仿宋" w:cs="仿宋"/>
          <w:color w:val="C00000"/>
          <w:spacing w:val="-5"/>
          <w:sz w:val="32"/>
          <w:szCs w:val="32"/>
          <w:lang w:val="zh-CN" w:eastAsia="zh-CN" w:bidi="zh-CN"/>
        </w:rPr>
        <w:t>。</w:t>
      </w:r>
    </w:p>
    <w:p w14:paraId="7FBF10CF">
      <w:pPr>
        <w:keepNext w:val="0"/>
        <w:keepLines w:val="0"/>
        <w:pageBreakBefore w:val="0"/>
        <w:widowControl w:val="0"/>
        <w:kinsoku/>
        <w:wordWrap/>
        <w:overflowPunct/>
        <w:topLinePunct w:val="0"/>
        <w:autoSpaceDE w:val="0"/>
        <w:autoSpaceDN w:val="0"/>
        <w:bidi w:val="0"/>
        <w:adjustRightInd/>
        <w:snapToGrid w:val="0"/>
        <w:spacing w:line="360" w:lineRule="auto"/>
        <w:ind w:firstLine="620" w:firstLineChars="200"/>
        <w:jc w:val="both"/>
        <w:textAlignment w:val="auto"/>
        <w:rPr>
          <w:rFonts w:hint="eastAsia" w:ascii="仿宋" w:hAnsi="仿宋" w:eastAsia="仿宋" w:cs="仿宋"/>
          <w:color w:val="C00000"/>
          <w:spacing w:val="-5"/>
          <w:sz w:val="32"/>
          <w:szCs w:val="32"/>
          <w:lang w:val="zh-CN" w:eastAsia="zh-CN" w:bidi="zh-CN"/>
        </w:rPr>
      </w:pPr>
      <w:r>
        <w:rPr>
          <w:rFonts w:hint="eastAsia" w:ascii="仿宋" w:hAnsi="仿宋" w:eastAsia="仿宋" w:cs="仿宋"/>
          <w:color w:val="C00000"/>
          <w:spacing w:val="-5"/>
          <w:sz w:val="32"/>
          <w:szCs w:val="32"/>
          <w:lang w:val="zh-CN" w:eastAsia="zh-CN" w:bidi="zh-CN"/>
        </w:rPr>
        <w:t>（三）使用非财政性资金，且合同没有明确采购方式的，按照以下流程执行：</w:t>
      </w:r>
    </w:p>
    <w:p w14:paraId="4FE97A65">
      <w:pPr>
        <w:keepNext w:val="0"/>
        <w:keepLines w:val="0"/>
        <w:pageBreakBefore w:val="0"/>
        <w:widowControl w:val="0"/>
        <w:kinsoku/>
        <w:wordWrap/>
        <w:overflowPunct/>
        <w:topLinePunct w:val="0"/>
        <w:autoSpaceDE w:val="0"/>
        <w:autoSpaceDN w:val="0"/>
        <w:bidi w:val="0"/>
        <w:adjustRightInd/>
        <w:snapToGrid w:val="0"/>
        <w:spacing w:line="360" w:lineRule="auto"/>
        <w:ind w:firstLine="620" w:firstLineChars="200"/>
        <w:jc w:val="both"/>
        <w:textAlignment w:val="auto"/>
        <w:rPr>
          <w:rFonts w:hint="eastAsia" w:ascii="仿宋" w:hAnsi="仿宋" w:eastAsia="仿宋" w:cs="仿宋"/>
          <w:color w:val="C00000"/>
          <w:spacing w:val="-5"/>
          <w:sz w:val="32"/>
          <w:szCs w:val="32"/>
          <w:lang w:val="zh-CN" w:eastAsia="zh-CN" w:bidi="zh-CN"/>
        </w:rPr>
      </w:pPr>
      <w:r>
        <w:rPr>
          <w:rFonts w:hint="eastAsia" w:ascii="仿宋" w:hAnsi="仿宋" w:eastAsia="仿宋" w:cs="仿宋"/>
          <w:color w:val="C00000"/>
          <w:spacing w:val="-5"/>
          <w:sz w:val="32"/>
          <w:szCs w:val="32"/>
          <w:lang w:val="zh-CN" w:eastAsia="zh-CN" w:bidi="zh-CN"/>
        </w:rPr>
        <w:t>1、20万元以内由项目负责组自行比价采购。根据双方协商签定采购合同。</w:t>
      </w:r>
    </w:p>
    <w:p w14:paraId="06F1D223">
      <w:pPr>
        <w:keepNext w:val="0"/>
        <w:keepLines w:val="0"/>
        <w:pageBreakBefore w:val="0"/>
        <w:widowControl w:val="0"/>
        <w:kinsoku/>
        <w:wordWrap/>
        <w:overflowPunct/>
        <w:topLinePunct w:val="0"/>
        <w:autoSpaceDE w:val="0"/>
        <w:autoSpaceDN w:val="0"/>
        <w:bidi w:val="0"/>
        <w:adjustRightInd/>
        <w:snapToGrid w:val="0"/>
        <w:spacing w:line="360" w:lineRule="auto"/>
        <w:ind w:firstLine="620" w:firstLineChars="200"/>
        <w:jc w:val="both"/>
        <w:textAlignment w:val="auto"/>
        <w:rPr>
          <w:rFonts w:hint="eastAsia" w:ascii="仿宋" w:hAnsi="仿宋" w:eastAsia="仿宋" w:cs="仿宋"/>
          <w:color w:val="C00000"/>
          <w:spacing w:val="-5"/>
          <w:sz w:val="32"/>
          <w:szCs w:val="32"/>
          <w:lang w:val="zh-CN" w:eastAsia="zh-CN" w:bidi="zh-CN"/>
        </w:rPr>
      </w:pPr>
      <w:r>
        <w:rPr>
          <w:rFonts w:hint="eastAsia" w:ascii="仿宋" w:hAnsi="仿宋" w:eastAsia="仿宋" w:cs="仿宋"/>
          <w:color w:val="C00000"/>
          <w:spacing w:val="-5"/>
          <w:sz w:val="32"/>
          <w:szCs w:val="32"/>
          <w:lang w:val="zh-CN" w:eastAsia="zh-CN" w:bidi="zh-CN"/>
        </w:rPr>
        <w:t>2、20-50万元由分管领导审批后，进行校内招标采购。</w:t>
      </w:r>
    </w:p>
    <w:p w14:paraId="0D0574F6">
      <w:pPr>
        <w:keepNext w:val="0"/>
        <w:keepLines w:val="0"/>
        <w:pageBreakBefore w:val="0"/>
        <w:widowControl w:val="0"/>
        <w:kinsoku/>
        <w:wordWrap/>
        <w:overflowPunct/>
        <w:topLinePunct w:val="0"/>
        <w:autoSpaceDE w:val="0"/>
        <w:autoSpaceDN w:val="0"/>
        <w:bidi w:val="0"/>
        <w:adjustRightInd/>
        <w:snapToGrid w:val="0"/>
        <w:spacing w:line="360" w:lineRule="auto"/>
        <w:ind w:firstLine="620" w:firstLineChars="200"/>
        <w:jc w:val="both"/>
        <w:textAlignment w:val="auto"/>
        <w:rPr>
          <w:rFonts w:hint="eastAsia" w:ascii="仿宋" w:hAnsi="仿宋" w:eastAsia="仿宋" w:cs="仿宋"/>
          <w:color w:val="C00000"/>
          <w:spacing w:val="-5"/>
          <w:sz w:val="32"/>
          <w:szCs w:val="32"/>
          <w:lang w:val="zh-CN" w:eastAsia="zh-CN" w:bidi="zh-CN"/>
        </w:rPr>
      </w:pPr>
      <w:r>
        <w:rPr>
          <w:rFonts w:hint="eastAsia" w:ascii="仿宋" w:hAnsi="仿宋" w:eastAsia="仿宋" w:cs="仿宋"/>
          <w:color w:val="C00000"/>
          <w:spacing w:val="-5"/>
          <w:sz w:val="32"/>
          <w:szCs w:val="32"/>
          <w:lang w:val="zh-CN" w:eastAsia="zh-CN" w:bidi="zh-CN"/>
        </w:rPr>
        <w:t>3、50万元以上由分管领导审批后，按学院规定，委托采购代理机构进行招标采购。</w:t>
      </w:r>
    </w:p>
    <w:p w14:paraId="268E957D">
      <w:pPr>
        <w:pStyle w:val="3"/>
        <w:keepNext w:val="0"/>
        <w:keepLines w:val="0"/>
        <w:pageBreakBefore w:val="0"/>
        <w:widowControl w:val="0"/>
        <w:numPr>
          <w:ilvl w:val="0"/>
          <w:numId w:val="2"/>
        </w:numPr>
        <w:tabs>
          <w:tab w:val="left" w:pos="1279"/>
        </w:tabs>
        <w:kinsoku/>
        <w:wordWrap/>
        <w:overflowPunct/>
        <w:topLinePunct w:val="0"/>
        <w:autoSpaceDE w:val="0"/>
        <w:autoSpaceDN w:val="0"/>
        <w:bidi w:val="0"/>
        <w:snapToGrid w:val="0"/>
        <w:spacing w:line="360" w:lineRule="auto"/>
        <w:ind w:left="0" w:right="159" w:firstLine="0"/>
        <w:jc w:val="center"/>
        <w:textAlignment w:val="auto"/>
        <w:rPr>
          <w:rFonts w:ascii="黑体" w:eastAsia="黑体"/>
          <w:lang w:val="en-US"/>
        </w:rPr>
      </w:pPr>
      <w:r>
        <w:rPr>
          <w:rFonts w:hint="eastAsia" w:ascii="黑体" w:eastAsia="黑体"/>
          <w:lang w:val="en-US"/>
        </w:rPr>
        <w:t>结项和验收</w:t>
      </w:r>
    </w:p>
    <w:p w14:paraId="03DD4CF2">
      <w:pPr>
        <w:pStyle w:val="3"/>
        <w:keepNext w:val="0"/>
        <w:keepLines w:val="0"/>
        <w:pageBreakBefore w:val="0"/>
        <w:widowControl w:val="0"/>
        <w:kinsoku/>
        <w:wordWrap/>
        <w:overflowPunct/>
        <w:topLinePunct w:val="0"/>
        <w:autoSpaceDE w:val="0"/>
        <w:autoSpaceDN w:val="0"/>
        <w:bidi w:val="0"/>
        <w:snapToGrid w:val="0"/>
        <w:spacing w:line="360" w:lineRule="auto"/>
        <w:ind w:right="280" w:firstLine="559"/>
        <w:textAlignment w:val="auto"/>
      </w:pPr>
      <w:r>
        <w:rPr>
          <w:b/>
          <w:spacing w:val="2"/>
        </w:rPr>
        <w:t>第</w:t>
      </w:r>
      <w:r>
        <w:rPr>
          <w:b/>
          <w:sz w:val="32"/>
        </w:rPr>
        <w:t>二十</w:t>
      </w:r>
      <w:r>
        <w:rPr>
          <w:rFonts w:hint="eastAsia"/>
          <w:b/>
          <w:sz w:val="32"/>
          <w:lang w:val="en-US" w:eastAsia="zh-CN"/>
        </w:rPr>
        <w:t>二</w:t>
      </w:r>
      <w:r>
        <w:rPr>
          <w:b/>
          <w:spacing w:val="2"/>
        </w:rPr>
        <w:t xml:space="preserve">条 </w:t>
      </w:r>
      <w:r>
        <w:rPr>
          <w:spacing w:val="-1"/>
        </w:rPr>
        <w:t>项目完成后，</w:t>
      </w:r>
      <w:r>
        <w:rPr>
          <w:rFonts w:hint="eastAsia"/>
          <w:spacing w:val="-1"/>
        </w:rPr>
        <w:t>项目主持人（联系人）</w:t>
      </w:r>
      <w:r>
        <w:rPr>
          <w:spacing w:val="-1"/>
        </w:rPr>
        <w:t>应按合同期限及时</w:t>
      </w:r>
      <w:r>
        <w:rPr>
          <w:spacing w:val="-3"/>
        </w:rPr>
        <w:t>办理项目验收结题手续。对于准备结题的项目，</w:t>
      </w:r>
      <w:r>
        <w:rPr>
          <w:rFonts w:hint="eastAsia"/>
          <w:spacing w:val="-3"/>
        </w:rPr>
        <w:t>项目主持人（联系人）</w:t>
      </w:r>
      <w:r>
        <w:rPr>
          <w:spacing w:val="-1"/>
        </w:rPr>
        <w:t>应全面清理经费收支和应收应付等款项。有暂付款尚未结清的，应在结账之前全部报销或归还。</w:t>
      </w:r>
    </w:p>
    <w:p w14:paraId="24177932">
      <w:pPr>
        <w:pStyle w:val="3"/>
        <w:keepNext w:val="0"/>
        <w:keepLines w:val="0"/>
        <w:pageBreakBefore w:val="0"/>
        <w:widowControl w:val="0"/>
        <w:kinsoku/>
        <w:wordWrap/>
        <w:overflowPunct/>
        <w:topLinePunct w:val="0"/>
        <w:autoSpaceDE w:val="0"/>
        <w:autoSpaceDN w:val="0"/>
        <w:bidi w:val="0"/>
        <w:snapToGrid w:val="0"/>
        <w:spacing w:line="360" w:lineRule="auto"/>
        <w:ind w:right="278"/>
        <w:textAlignment w:val="auto"/>
      </w:pPr>
      <w:r>
        <w:rPr>
          <w:b/>
          <w:spacing w:val="29"/>
        </w:rPr>
        <w:t>第</w:t>
      </w:r>
      <w:r>
        <w:rPr>
          <w:b/>
          <w:sz w:val="32"/>
        </w:rPr>
        <w:t>二十</w:t>
      </w:r>
      <w:r>
        <w:rPr>
          <w:rFonts w:hint="eastAsia"/>
          <w:b/>
          <w:sz w:val="32"/>
          <w:lang w:val="en-US" w:eastAsia="zh-CN"/>
        </w:rPr>
        <w:t>三</w:t>
      </w:r>
      <w:r>
        <w:rPr>
          <w:b/>
          <w:spacing w:val="29"/>
        </w:rPr>
        <w:t xml:space="preserve">条 </w:t>
      </w:r>
      <w:r>
        <w:rPr>
          <w:spacing w:val="-4"/>
        </w:rPr>
        <w:t>项目完成后，</w:t>
      </w:r>
      <w:r>
        <w:rPr>
          <w:rFonts w:hint="eastAsia"/>
          <w:spacing w:val="-4"/>
        </w:rPr>
        <w:t>项目主持人（联系人）</w:t>
      </w:r>
      <w:r>
        <w:rPr>
          <w:spacing w:val="-4"/>
        </w:rPr>
        <w:t>应会同</w:t>
      </w:r>
      <w:r>
        <w:rPr>
          <w:rFonts w:hint="eastAsia"/>
          <w:spacing w:val="-4"/>
        </w:rPr>
        <w:t>财务处</w:t>
      </w:r>
      <w:r>
        <w:rPr>
          <w:spacing w:val="-6"/>
        </w:rPr>
        <w:t>清理项目收支账目，编制项目决算表，并附上</w:t>
      </w:r>
      <w:r>
        <w:rPr>
          <w:rFonts w:hint="eastAsia"/>
          <w:spacing w:val="-6"/>
        </w:rPr>
        <w:t>财务处认可的项目经费开支明细账</w:t>
      </w:r>
      <w:r>
        <w:rPr>
          <w:spacing w:val="-7"/>
          <w:w w:val="95"/>
        </w:rPr>
        <w:t>。及时办理结题，结题需提交</w:t>
      </w:r>
      <w:r>
        <w:rPr>
          <w:spacing w:val="-6"/>
          <w:w w:val="95"/>
        </w:rPr>
        <w:t>财务证明、合同书、合同完成情况说明</w:t>
      </w:r>
      <w:r>
        <w:rPr>
          <w:w w:val="95"/>
        </w:rPr>
        <w:t>（委托单位证明盖章</w:t>
      </w:r>
      <w:r>
        <w:t>及相关佐证材料</w:t>
      </w:r>
      <w:r>
        <w:rPr>
          <w:spacing w:val="-127"/>
        </w:rPr>
        <w:t>）</w:t>
      </w:r>
      <w:r>
        <w:rPr>
          <w:spacing w:val="-17"/>
        </w:rPr>
        <w:t>，结题时间不应晚于计划完成时间届满后</w:t>
      </w:r>
      <w:r>
        <w:t>2年。</w:t>
      </w:r>
    </w:p>
    <w:p w14:paraId="640F7DAC">
      <w:pPr>
        <w:pStyle w:val="3"/>
        <w:keepNext w:val="0"/>
        <w:keepLines w:val="0"/>
        <w:pageBreakBefore w:val="0"/>
        <w:widowControl w:val="0"/>
        <w:kinsoku/>
        <w:wordWrap/>
        <w:overflowPunct/>
        <w:topLinePunct w:val="0"/>
        <w:autoSpaceDE w:val="0"/>
        <w:autoSpaceDN w:val="0"/>
        <w:bidi w:val="0"/>
        <w:snapToGrid w:val="0"/>
        <w:spacing w:line="360" w:lineRule="auto"/>
        <w:ind w:left="0" w:right="160" w:firstLine="0"/>
        <w:jc w:val="center"/>
        <w:textAlignment w:val="auto"/>
        <w:rPr>
          <w:rFonts w:ascii="黑体" w:eastAsia="黑体"/>
        </w:rPr>
      </w:pPr>
      <w:r>
        <w:rPr>
          <w:rFonts w:hint="eastAsia" w:ascii="黑体" w:eastAsia="黑体"/>
        </w:rPr>
        <w:t>第</w:t>
      </w:r>
      <w:r>
        <w:rPr>
          <w:rFonts w:hint="eastAsia" w:ascii="黑体" w:eastAsia="黑体"/>
          <w:lang w:val="en-US" w:eastAsia="zh-CN"/>
        </w:rPr>
        <w:t>六</w:t>
      </w:r>
      <w:r>
        <w:rPr>
          <w:rFonts w:hint="eastAsia" w:ascii="黑体" w:eastAsia="黑体"/>
        </w:rPr>
        <w:t>章 监督与考评</w:t>
      </w:r>
    </w:p>
    <w:p w14:paraId="452037F2">
      <w:pPr>
        <w:pStyle w:val="3"/>
        <w:keepNext w:val="0"/>
        <w:keepLines w:val="0"/>
        <w:pageBreakBefore w:val="0"/>
        <w:widowControl w:val="0"/>
        <w:kinsoku/>
        <w:wordWrap/>
        <w:overflowPunct/>
        <w:topLinePunct w:val="0"/>
        <w:autoSpaceDE w:val="0"/>
        <w:autoSpaceDN w:val="0"/>
        <w:bidi w:val="0"/>
        <w:snapToGrid w:val="0"/>
        <w:spacing w:line="360" w:lineRule="auto"/>
        <w:ind w:right="265"/>
        <w:textAlignment w:val="auto"/>
      </w:pPr>
      <w:r>
        <w:rPr>
          <w:b/>
        </w:rPr>
        <w:t>第二十</w:t>
      </w:r>
      <w:r>
        <w:rPr>
          <w:rFonts w:hint="eastAsia"/>
          <w:b/>
          <w:lang w:val="en-US"/>
        </w:rPr>
        <w:t>四</w:t>
      </w:r>
      <w:r>
        <w:rPr>
          <w:b/>
        </w:rPr>
        <w:t xml:space="preserve">条 </w:t>
      </w:r>
      <w:r>
        <w:rPr>
          <w:rFonts w:hint="eastAsia"/>
        </w:rPr>
        <w:t>学院</w:t>
      </w:r>
      <w:r>
        <w:t>各职能部门和</w:t>
      </w:r>
      <w:r>
        <w:rPr>
          <w:rFonts w:hint="eastAsia"/>
        </w:rPr>
        <w:t>项目主持人（联系人）</w:t>
      </w:r>
      <w:r>
        <w:t>应自觉接受委托方的监督检查。对检查中发现的问题，应及时纠正；对弄虚作假、截留、挪用、挤占项目</w:t>
      </w:r>
      <w:r>
        <w:rPr>
          <w:rFonts w:hint="eastAsia"/>
          <w:lang w:eastAsia="zh-CN"/>
        </w:rPr>
        <w:t>经费</w:t>
      </w:r>
      <w:r>
        <w:t>等违反财经纪律的行为，按照有关规定进行处理。</w:t>
      </w:r>
    </w:p>
    <w:p w14:paraId="5FAF4A57">
      <w:pPr>
        <w:pStyle w:val="3"/>
        <w:keepNext w:val="0"/>
        <w:keepLines w:val="0"/>
        <w:pageBreakBefore w:val="0"/>
        <w:widowControl w:val="0"/>
        <w:kinsoku/>
        <w:wordWrap/>
        <w:overflowPunct/>
        <w:topLinePunct w:val="0"/>
        <w:autoSpaceDE w:val="0"/>
        <w:autoSpaceDN w:val="0"/>
        <w:bidi w:val="0"/>
        <w:snapToGrid w:val="0"/>
        <w:spacing w:line="360" w:lineRule="auto"/>
        <w:ind w:left="0" w:right="0" w:firstLine="761" w:firstLineChars="237"/>
        <w:textAlignment w:val="auto"/>
      </w:pPr>
      <w:r>
        <w:rPr>
          <w:b/>
        </w:rPr>
        <w:t>第二十</w:t>
      </w:r>
      <w:r>
        <w:rPr>
          <w:rFonts w:hint="eastAsia"/>
          <w:b/>
          <w:lang w:val="en-US"/>
        </w:rPr>
        <w:t>五</w:t>
      </w:r>
      <w:r>
        <w:rPr>
          <w:b/>
        </w:rPr>
        <w:t xml:space="preserve">条 </w:t>
      </w:r>
      <w:r>
        <w:t>严禁以任何方式挪用、侵占、骗取项目</w:t>
      </w:r>
      <w:r>
        <w:rPr>
          <w:rFonts w:hint="eastAsia"/>
          <w:lang w:eastAsia="zh-CN"/>
        </w:rPr>
        <w:t>经费</w:t>
      </w:r>
      <w:r>
        <w:t>，主要包括但不限于以下情形：</w:t>
      </w:r>
    </w:p>
    <w:p w14:paraId="0F87A292">
      <w:pPr>
        <w:pStyle w:val="3"/>
        <w:keepNext w:val="0"/>
        <w:keepLines w:val="0"/>
        <w:pageBreakBefore w:val="0"/>
        <w:widowControl w:val="0"/>
        <w:kinsoku/>
        <w:wordWrap/>
        <w:overflowPunct/>
        <w:topLinePunct w:val="0"/>
        <w:autoSpaceDE w:val="0"/>
        <w:autoSpaceDN w:val="0"/>
        <w:bidi w:val="0"/>
        <w:snapToGrid w:val="0"/>
        <w:spacing w:line="360" w:lineRule="auto"/>
        <w:ind w:left="0" w:right="0" w:firstLine="758" w:firstLineChars="237"/>
        <w:textAlignment w:val="auto"/>
      </w:pPr>
      <w:r>
        <w:t>(一) 严禁编造虚假合同、编制虚假预算。</w:t>
      </w:r>
    </w:p>
    <w:p w14:paraId="16AAD932">
      <w:pPr>
        <w:pStyle w:val="3"/>
        <w:keepNext w:val="0"/>
        <w:keepLines w:val="0"/>
        <w:pageBreakBefore w:val="0"/>
        <w:widowControl w:val="0"/>
        <w:kinsoku/>
        <w:wordWrap/>
        <w:overflowPunct/>
        <w:topLinePunct w:val="0"/>
        <w:autoSpaceDE w:val="0"/>
        <w:autoSpaceDN w:val="0"/>
        <w:bidi w:val="0"/>
        <w:snapToGrid w:val="0"/>
        <w:spacing w:line="360" w:lineRule="auto"/>
        <w:ind w:right="279"/>
        <w:textAlignment w:val="auto"/>
      </w:pPr>
      <w:r>
        <w:t>(二) 严禁违规将项目</w:t>
      </w:r>
      <w:r>
        <w:rPr>
          <w:rFonts w:hint="eastAsia"/>
          <w:lang w:eastAsia="zh-CN"/>
        </w:rPr>
        <w:t>经费</w:t>
      </w:r>
      <w:r>
        <w:t>转拨、转移到利益相关的单位或个人。</w:t>
      </w:r>
    </w:p>
    <w:p w14:paraId="2C7A7082">
      <w:pPr>
        <w:pStyle w:val="3"/>
        <w:keepNext w:val="0"/>
        <w:keepLines w:val="0"/>
        <w:pageBreakBefore w:val="0"/>
        <w:widowControl w:val="0"/>
        <w:kinsoku/>
        <w:wordWrap/>
        <w:overflowPunct/>
        <w:topLinePunct w:val="0"/>
        <w:autoSpaceDE w:val="0"/>
        <w:autoSpaceDN w:val="0"/>
        <w:bidi w:val="0"/>
        <w:snapToGrid w:val="0"/>
        <w:spacing w:line="360" w:lineRule="auto"/>
        <w:ind w:left="760" w:right="0" w:firstLine="0"/>
        <w:textAlignment w:val="auto"/>
      </w:pPr>
      <w:r>
        <w:t>(三) 严禁购买与科研项目无关的设备、材料。</w:t>
      </w:r>
    </w:p>
    <w:p w14:paraId="764D1086">
      <w:pPr>
        <w:pStyle w:val="3"/>
        <w:keepNext w:val="0"/>
        <w:keepLines w:val="0"/>
        <w:pageBreakBefore w:val="0"/>
        <w:widowControl w:val="0"/>
        <w:kinsoku/>
        <w:wordWrap/>
        <w:overflowPunct/>
        <w:topLinePunct w:val="0"/>
        <w:autoSpaceDE w:val="0"/>
        <w:autoSpaceDN w:val="0"/>
        <w:bidi w:val="0"/>
        <w:snapToGrid w:val="0"/>
        <w:spacing w:line="360" w:lineRule="auto"/>
        <w:ind w:left="760" w:right="84" w:firstLine="0"/>
        <w:textAlignment w:val="auto"/>
      </w:pPr>
      <w:r>
        <w:t>(四) 严禁虚构经济业务、使用虚假票据套取项目</w:t>
      </w:r>
      <w:r>
        <w:rPr>
          <w:rFonts w:hint="eastAsia"/>
          <w:lang w:eastAsia="zh-CN"/>
        </w:rPr>
        <w:t>经费</w:t>
      </w:r>
      <w:r>
        <w:t>。(五) 严禁在项目</w:t>
      </w:r>
      <w:r>
        <w:rPr>
          <w:rFonts w:hint="eastAsia"/>
          <w:lang w:eastAsia="zh-CN"/>
        </w:rPr>
        <w:t>经费</w:t>
      </w:r>
      <w:r>
        <w:t>中报销个人家庭消费支出。</w:t>
      </w:r>
    </w:p>
    <w:p w14:paraId="3ED7B304">
      <w:pPr>
        <w:pStyle w:val="3"/>
        <w:keepNext w:val="0"/>
        <w:keepLines w:val="0"/>
        <w:pageBreakBefore w:val="0"/>
        <w:widowControl w:val="0"/>
        <w:kinsoku/>
        <w:wordWrap/>
        <w:overflowPunct/>
        <w:topLinePunct w:val="0"/>
        <w:autoSpaceDE w:val="0"/>
        <w:autoSpaceDN w:val="0"/>
        <w:bidi w:val="0"/>
        <w:snapToGrid w:val="0"/>
        <w:spacing w:line="360" w:lineRule="auto"/>
        <w:ind w:left="760" w:right="97" w:firstLine="0"/>
        <w:textAlignment w:val="auto"/>
      </w:pPr>
      <w:r>
        <w:t>(六) 严禁虚列、伪造名单，虚报冒领科研劳务性费用。(七) 严禁借科研协作之名，将项目</w:t>
      </w:r>
      <w:r>
        <w:rPr>
          <w:rFonts w:hint="eastAsia"/>
          <w:lang w:eastAsia="zh-CN"/>
        </w:rPr>
        <w:t>经费</w:t>
      </w:r>
      <w:r>
        <w:t>挪作它用。</w:t>
      </w:r>
    </w:p>
    <w:p w14:paraId="6DCE4BA7">
      <w:pPr>
        <w:pStyle w:val="3"/>
        <w:keepNext w:val="0"/>
        <w:keepLines w:val="0"/>
        <w:pageBreakBefore w:val="0"/>
        <w:widowControl w:val="0"/>
        <w:kinsoku/>
        <w:wordWrap/>
        <w:overflowPunct/>
        <w:topLinePunct w:val="0"/>
        <w:autoSpaceDE w:val="0"/>
        <w:autoSpaceDN w:val="0"/>
        <w:bidi w:val="0"/>
        <w:snapToGrid w:val="0"/>
        <w:spacing w:line="360" w:lineRule="auto"/>
        <w:ind w:left="760" w:right="0" w:firstLine="0"/>
        <w:textAlignment w:val="auto"/>
      </w:pPr>
      <w:r>
        <w:t>(八) 严禁设立“小金库”。</w:t>
      </w:r>
    </w:p>
    <w:p w14:paraId="092516B0">
      <w:pPr>
        <w:pStyle w:val="3"/>
        <w:keepNext w:val="0"/>
        <w:keepLines w:val="0"/>
        <w:pageBreakBefore w:val="0"/>
        <w:widowControl w:val="0"/>
        <w:kinsoku/>
        <w:wordWrap/>
        <w:overflowPunct/>
        <w:topLinePunct w:val="0"/>
        <w:autoSpaceDE w:val="0"/>
        <w:autoSpaceDN w:val="0"/>
        <w:bidi w:val="0"/>
        <w:snapToGrid w:val="0"/>
        <w:spacing w:line="360" w:lineRule="auto"/>
        <w:ind w:left="0" w:right="159" w:firstLine="0"/>
        <w:jc w:val="center"/>
        <w:textAlignment w:val="auto"/>
        <w:rPr>
          <w:rFonts w:ascii="黑体" w:eastAsia="黑体"/>
        </w:rPr>
      </w:pPr>
      <w:r>
        <w:rPr>
          <w:rFonts w:hint="eastAsia" w:ascii="黑体" w:eastAsia="黑体"/>
        </w:rPr>
        <w:t>第</w:t>
      </w:r>
      <w:r>
        <w:rPr>
          <w:rFonts w:hint="eastAsia" w:ascii="黑体" w:eastAsia="黑体"/>
          <w:lang w:val="en-US" w:eastAsia="zh-CN"/>
        </w:rPr>
        <w:t>七</w:t>
      </w:r>
      <w:r>
        <w:rPr>
          <w:rFonts w:hint="eastAsia" w:ascii="黑体" w:eastAsia="黑体"/>
        </w:rPr>
        <w:t>章 附则</w:t>
      </w:r>
    </w:p>
    <w:p w14:paraId="0B27C238">
      <w:pPr>
        <w:keepNext w:val="0"/>
        <w:keepLines w:val="0"/>
        <w:pageBreakBefore w:val="0"/>
        <w:widowControl w:val="0"/>
        <w:kinsoku/>
        <w:wordWrap/>
        <w:overflowPunct/>
        <w:topLinePunct w:val="0"/>
        <w:autoSpaceDE w:val="0"/>
        <w:autoSpaceDN w:val="0"/>
        <w:bidi w:val="0"/>
        <w:snapToGrid w:val="0"/>
        <w:spacing w:line="360" w:lineRule="auto"/>
        <w:ind w:left="760"/>
        <w:jc w:val="both"/>
        <w:textAlignment w:val="auto"/>
        <w:rPr>
          <w:sz w:val="32"/>
        </w:rPr>
      </w:pPr>
      <w:r>
        <w:rPr>
          <w:b/>
          <w:sz w:val="32"/>
        </w:rPr>
        <w:t>第二十</w:t>
      </w:r>
      <w:r>
        <w:rPr>
          <w:rFonts w:hint="eastAsia"/>
          <w:b/>
          <w:sz w:val="32"/>
          <w:lang w:val="en-US"/>
        </w:rPr>
        <w:t>六</w:t>
      </w:r>
      <w:r>
        <w:rPr>
          <w:b/>
          <w:sz w:val="32"/>
        </w:rPr>
        <w:t xml:space="preserve">条 </w:t>
      </w:r>
      <w:r>
        <w:rPr>
          <w:sz w:val="32"/>
        </w:rPr>
        <w:t>本办法由</w:t>
      </w:r>
      <w:r>
        <w:rPr>
          <w:rFonts w:hint="eastAsia"/>
          <w:sz w:val="32"/>
        </w:rPr>
        <w:t>科研处</w:t>
      </w:r>
      <w:r>
        <w:rPr>
          <w:sz w:val="32"/>
        </w:rPr>
        <w:t>负责解释。</w:t>
      </w:r>
    </w:p>
    <w:p w14:paraId="2F9FC944">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spacing w:val="-4"/>
        </w:rPr>
      </w:pPr>
      <w:r>
        <w:rPr>
          <w:b/>
          <w:spacing w:val="24"/>
        </w:rPr>
        <w:t>第二十</w:t>
      </w:r>
      <w:r>
        <w:rPr>
          <w:rFonts w:hint="eastAsia"/>
          <w:b/>
          <w:spacing w:val="24"/>
          <w:lang w:val="en-US"/>
        </w:rPr>
        <w:t>七</w:t>
      </w:r>
      <w:r>
        <w:rPr>
          <w:b/>
          <w:spacing w:val="24"/>
        </w:rPr>
        <w:t xml:space="preserve">条 </w:t>
      </w:r>
      <w:r>
        <w:rPr>
          <w:spacing w:val="-2"/>
        </w:rPr>
        <w:t>本办法自颁布之日起施行</w:t>
      </w:r>
      <w:r>
        <w:rPr>
          <w:spacing w:val="-4"/>
          <w:w w:val="95"/>
        </w:rPr>
        <w:t>。本办法与上级管理</w:t>
      </w:r>
      <w:r>
        <w:rPr>
          <w:spacing w:val="-4"/>
        </w:rPr>
        <w:t>部门的有关规定不一致的，以上级管理部门的规定为准。</w:t>
      </w:r>
    </w:p>
    <w:p w14:paraId="6F352788">
      <w:pPr>
        <w:pStyle w:val="3"/>
        <w:keepNext w:val="0"/>
        <w:keepLines w:val="0"/>
        <w:pageBreakBefore w:val="0"/>
        <w:widowControl w:val="0"/>
        <w:kinsoku/>
        <w:wordWrap/>
        <w:overflowPunct/>
        <w:topLinePunct w:val="0"/>
        <w:autoSpaceDE w:val="0"/>
        <w:autoSpaceDN w:val="0"/>
        <w:bidi w:val="0"/>
        <w:snapToGrid w:val="0"/>
        <w:spacing w:line="360" w:lineRule="auto"/>
        <w:textAlignment w:val="auto"/>
        <w:rPr>
          <w:spacing w:val="-4"/>
        </w:rPr>
      </w:pPr>
    </w:p>
    <w:sectPr>
      <w:footerReference r:id="rId3" w:type="default"/>
      <w:pgSz w:w="11910" w:h="16840"/>
      <w:pgMar w:top="1540" w:right="1520" w:bottom="1380" w:left="168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15D78E-71F6-411C-A6E1-53DCCEFF54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2EA5662-7094-4A48-A80D-C98C14E2202A}"/>
  </w:font>
  <w:font w:name="华文中宋">
    <w:panose1 w:val="02010600040101010101"/>
    <w:charset w:val="86"/>
    <w:family w:val="auto"/>
    <w:pitch w:val="default"/>
    <w:sig w:usb0="00000287" w:usb1="080F0000" w:usb2="00000000" w:usb3="00000000" w:csb0="0004009F" w:csb1="DFD70000"/>
    <w:embedRegular r:id="rId3" w:fontKey="{1E248BCE-EDC8-41A8-9E1B-0C01C6E6EA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74C0">
    <w:pPr>
      <w:pStyle w:val="3"/>
      <w:spacing w:line="14" w:lineRule="auto"/>
      <w:ind w:left="0" w:right="0" w:firstLine="0"/>
      <w:jc w:val="left"/>
      <w:rPr>
        <w:sz w:val="20"/>
      </w:rPr>
    </w:pPr>
    <w:r>
      <mc:AlternateContent>
        <mc:Choice Requires="wps">
          <w:drawing>
            <wp:anchor distT="0" distB="0" distL="114300" distR="114300" simplePos="0" relativeHeight="251659264" behindDoc="1" locked="0" layoutInCell="1" allowOverlap="1">
              <wp:simplePos x="0" y="0"/>
              <wp:positionH relativeFrom="page">
                <wp:posOffset>3632200</wp:posOffset>
              </wp:positionH>
              <wp:positionV relativeFrom="page">
                <wp:posOffset>9792970</wp:posOffset>
              </wp:positionV>
              <wp:extent cx="351790" cy="1416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1790" cy="141605"/>
                      </a:xfrm>
                      <a:prstGeom prst="rect">
                        <a:avLst/>
                      </a:prstGeom>
                      <a:noFill/>
                      <a:ln>
                        <a:noFill/>
                      </a:ln>
                      <a:effectLst/>
                    </wps:spPr>
                    <wps:txbx>
                      <w:txbxContent>
                        <w:p w14:paraId="06128271">
                          <w:pPr>
                            <w:spacing w:line="206" w:lineRule="exact"/>
                            <w:ind w:left="20"/>
                            <w:rPr>
                              <w:rFonts w:ascii="Calibri"/>
                              <w:b/>
                              <w:sz w:val="18"/>
                            </w:rPr>
                          </w:pPr>
                          <w:r>
                            <w:rPr>
                              <w:rFonts w:ascii="Calibri"/>
                              <w:b/>
                              <w:sz w:val="18"/>
                            </w:rPr>
                            <w:t xml:space="preserve">10 </w:t>
                          </w:r>
                          <w:r>
                            <w:rPr>
                              <w:rFonts w:ascii="Calibri"/>
                              <w:sz w:val="18"/>
                            </w:rPr>
                            <w:t xml:space="preserve">/ </w:t>
                          </w:r>
                          <w:r>
                            <w:rPr>
                              <w:rFonts w:ascii="Calibri"/>
                              <w:b/>
                              <w:sz w:val="18"/>
                            </w:rPr>
                            <w:t>10</w:t>
                          </w:r>
                        </w:p>
                      </w:txbxContent>
                    </wps:txbx>
                    <wps:bodyPr lIns="0" tIns="0" rIns="0" bIns="0" upright="1"/>
                  </wps:wsp>
                </a:graphicData>
              </a:graphic>
            </wp:anchor>
          </w:drawing>
        </mc:Choice>
        <mc:Fallback>
          <w:pict>
            <v:shape id="_x0000_s1026" o:spid="_x0000_s1026" o:spt="202" type="#_x0000_t202" style="position:absolute;left:0pt;margin-left:286pt;margin-top:771.1pt;height:11.15pt;width:27.7pt;mso-position-horizontal-relative:page;mso-position-vertical-relative:page;z-index:-251657216;mso-width-relative:page;mso-height-relative:page;" filled="f" stroked="f" coordsize="21600,21600" o:gfxdata="UEsDBAoAAAAAAIdO4kAAAAAAAAAAAAAAAAAEAAAAZHJzL1BLAwQUAAAACACHTuJADDshrNsAAAAN&#10;AQAADwAAAGRycy9kb3ducmV2LnhtbE2PzU7DMBCE70i8g7VI3KjdKEkhxKkQghNS1TQcODqxm1iN&#10;1yF2f3h7tic47sxo9ptyfXEjO5k5WI8SlgsBzGDntcVewmfz/vAILESFWo0ejYQfE2Bd3d6UqtD+&#10;jLU57WLPqARDoSQMMU4F56EbjFNh4SeD5O397FSkc+65ntWZyt3IEyFy7pRF+jCoybwOpjvsjk7C&#10;yxfWb/Z7027rfW2b5kngR36Q8v5uKZ6BRXOJf2G44hM6VMTU+iPqwEYJ2SqhLZGMLE0SYBTJk1UK&#10;rL1KeZoBr0r+f0X1C1BLAwQUAAAACACHTuJAvprBx74BAAB/AwAADgAAAGRycy9lMm9Eb2MueG1s&#10;rVPNbhMxEL4j9R0s34l3Q1tglU2lKipCQoBUeADHa2ct+U8eJ7t5AXgDTly481x5Dsb7E0q59NCL&#10;dzwz/ma+b2ZXN7015CAjaO9qWi4KSqQTvtFuV9OvX+5evqEEEncNN97Jmh4l0Jv1xYtVFyq59K03&#10;jYwEQRxUXahpm1KoGAPRSsth4YN0GFQ+Wp7wGnesibxDdGvYsiiuWedjE6IXEgC9mzFIJ8T4FECv&#10;lBZy48XeSpdG1CgNT0gJWh2ArodulZIifVIKZCKmpsg0DScWQXubT7Ze8WoXeWi1mFrgT2nhESfL&#10;tcOiZ6gNT5zso/4PymoRPXiVFsJbNhIZFEEWZfFIm/uWBzlwQakhnEWH54MVHw+fI9FNTZeUOG5x&#10;4Kcf308/f59+fSPLLE8XoMKs+4B5qb/1PS7N7Ad0Zta9ijZ/kQ/BOIp7PIsr+0QEOl9dla/fYkRg&#10;qLwsr4urjML+Pg4R0jvpLclGTSPObpCUHz5AGlPnlFzL+TttzDA/4/5xIObokcMCTK8zj7HfbKV+&#10;20/ktr45Ijfz3qGueUdmI87Gdjb2Iepdi80NCrAMhHMZWEw7lAf/8I72w/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MOyGs2wAAAA0BAAAPAAAAAAAAAAEAIAAAACIAAABkcnMvZG93bnJldi54&#10;bWxQSwECFAAUAAAACACHTuJAvprBx74BAAB/AwAADgAAAAAAAAABACAAAAAqAQAAZHJzL2Uyb0Rv&#10;Yy54bWxQSwUGAAAAAAYABgBZAQAAWgUAAAAA&#10;">
              <v:fill on="f" focussize="0,0"/>
              <v:stroke on="f"/>
              <v:imagedata o:title=""/>
              <o:lock v:ext="edit" aspectratio="f"/>
              <v:textbox inset="0mm,0mm,0mm,0mm">
                <w:txbxContent>
                  <w:p w14:paraId="06128271">
                    <w:pPr>
                      <w:spacing w:line="206" w:lineRule="exact"/>
                      <w:ind w:left="20"/>
                      <w:rPr>
                        <w:rFonts w:ascii="Calibri"/>
                        <w:b/>
                        <w:sz w:val="18"/>
                      </w:rPr>
                    </w:pPr>
                    <w:r>
                      <w:rPr>
                        <w:rFonts w:ascii="Calibri"/>
                        <w:b/>
                        <w:sz w:val="18"/>
                      </w:rPr>
                      <w:t xml:space="preserve">10 </w:t>
                    </w:r>
                    <w:r>
                      <w:rPr>
                        <w:rFonts w:ascii="Calibri"/>
                        <w:sz w:val="18"/>
                      </w:rPr>
                      <w:t xml:space="preserve">/ </w:t>
                    </w:r>
                    <w:r>
                      <w:rPr>
                        <w:rFonts w:ascii="Calibri"/>
                        <w:b/>
                        <w:sz w:val="18"/>
                      </w:rPr>
                      <w:t>10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2D0FF"/>
    <w:multiLevelType w:val="singleLevel"/>
    <w:tmpl w:val="1672D0FF"/>
    <w:lvl w:ilvl="0" w:tentative="0">
      <w:start w:val="5"/>
      <w:numFmt w:val="chineseCounting"/>
      <w:lvlText w:val="第%1章"/>
      <w:lvlJc w:val="left"/>
      <w:rPr>
        <w:rFonts w:hint="eastAsia"/>
      </w:rPr>
    </w:lvl>
  </w:abstractNum>
  <w:abstractNum w:abstractNumId="1">
    <w:nsid w:val="5F522C28"/>
    <w:multiLevelType w:val="singleLevel"/>
    <w:tmpl w:val="5F522C28"/>
    <w:lvl w:ilvl="0" w:tentative="0">
      <w:start w:val="10"/>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YzY3NjI0ODNjZmRmNmM5MWEyYmJlMmRiMGZhODIifQ=="/>
  </w:docVars>
  <w:rsids>
    <w:rsidRoot w:val="002C2652"/>
    <w:rsid w:val="0004010B"/>
    <w:rsid w:val="00073533"/>
    <w:rsid w:val="000C6467"/>
    <w:rsid w:val="00123C37"/>
    <w:rsid w:val="001D06A6"/>
    <w:rsid w:val="001D3ECF"/>
    <w:rsid w:val="001D5B73"/>
    <w:rsid w:val="00200B80"/>
    <w:rsid w:val="002C2652"/>
    <w:rsid w:val="00462E6D"/>
    <w:rsid w:val="00501AAF"/>
    <w:rsid w:val="005C6B70"/>
    <w:rsid w:val="005D6F93"/>
    <w:rsid w:val="007F3A97"/>
    <w:rsid w:val="009473B2"/>
    <w:rsid w:val="00A22CAF"/>
    <w:rsid w:val="00AA77E3"/>
    <w:rsid w:val="00BF34B4"/>
    <w:rsid w:val="00D36791"/>
    <w:rsid w:val="00E164DA"/>
    <w:rsid w:val="00ED0CF4"/>
    <w:rsid w:val="00EF2F9F"/>
    <w:rsid w:val="00F168D1"/>
    <w:rsid w:val="0213141D"/>
    <w:rsid w:val="031B3891"/>
    <w:rsid w:val="03354E6C"/>
    <w:rsid w:val="03D26C2D"/>
    <w:rsid w:val="0446138F"/>
    <w:rsid w:val="044F4EE1"/>
    <w:rsid w:val="05FD5C7A"/>
    <w:rsid w:val="0673240D"/>
    <w:rsid w:val="06854319"/>
    <w:rsid w:val="072357CC"/>
    <w:rsid w:val="07EA063D"/>
    <w:rsid w:val="096947A2"/>
    <w:rsid w:val="09CB4A72"/>
    <w:rsid w:val="0A394066"/>
    <w:rsid w:val="0A5033AD"/>
    <w:rsid w:val="0B917709"/>
    <w:rsid w:val="0C871385"/>
    <w:rsid w:val="0E106F3A"/>
    <w:rsid w:val="10734A96"/>
    <w:rsid w:val="1404416B"/>
    <w:rsid w:val="14064D54"/>
    <w:rsid w:val="14410226"/>
    <w:rsid w:val="14613A7F"/>
    <w:rsid w:val="149B74A3"/>
    <w:rsid w:val="15931362"/>
    <w:rsid w:val="198B2219"/>
    <w:rsid w:val="1AAD200E"/>
    <w:rsid w:val="1ABE371B"/>
    <w:rsid w:val="1B9E1881"/>
    <w:rsid w:val="1EAA70A2"/>
    <w:rsid w:val="1EC10E45"/>
    <w:rsid w:val="2428560B"/>
    <w:rsid w:val="2493491D"/>
    <w:rsid w:val="27DA59F1"/>
    <w:rsid w:val="27EC2328"/>
    <w:rsid w:val="297816B0"/>
    <w:rsid w:val="2D637D96"/>
    <w:rsid w:val="2D991DCE"/>
    <w:rsid w:val="2DBC6D81"/>
    <w:rsid w:val="2FA97857"/>
    <w:rsid w:val="31393FF5"/>
    <w:rsid w:val="3144024F"/>
    <w:rsid w:val="319252BA"/>
    <w:rsid w:val="31C74B3E"/>
    <w:rsid w:val="330864CC"/>
    <w:rsid w:val="33B40EBC"/>
    <w:rsid w:val="35A045A2"/>
    <w:rsid w:val="37D64D82"/>
    <w:rsid w:val="37F51C38"/>
    <w:rsid w:val="382E4E28"/>
    <w:rsid w:val="3A8745BB"/>
    <w:rsid w:val="3A8A418E"/>
    <w:rsid w:val="3A9D03CE"/>
    <w:rsid w:val="3C5108F3"/>
    <w:rsid w:val="3E245DC7"/>
    <w:rsid w:val="3E497999"/>
    <w:rsid w:val="3EC11C25"/>
    <w:rsid w:val="3EDA131B"/>
    <w:rsid w:val="41F04AAE"/>
    <w:rsid w:val="426E5D44"/>
    <w:rsid w:val="44C440F7"/>
    <w:rsid w:val="4708629B"/>
    <w:rsid w:val="47454E8A"/>
    <w:rsid w:val="475A2142"/>
    <w:rsid w:val="48FB1CF8"/>
    <w:rsid w:val="49A03FC0"/>
    <w:rsid w:val="4A9023AD"/>
    <w:rsid w:val="4B5E6954"/>
    <w:rsid w:val="4E177D8E"/>
    <w:rsid w:val="4FE07FFD"/>
    <w:rsid w:val="50992F99"/>
    <w:rsid w:val="51280290"/>
    <w:rsid w:val="5201213B"/>
    <w:rsid w:val="53102748"/>
    <w:rsid w:val="53605111"/>
    <w:rsid w:val="537156F2"/>
    <w:rsid w:val="53B15CF3"/>
    <w:rsid w:val="56CE4A87"/>
    <w:rsid w:val="57932820"/>
    <w:rsid w:val="59776AED"/>
    <w:rsid w:val="5BAB524D"/>
    <w:rsid w:val="5C1743DA"/>
    <w:rsid w:val="5E4064E1"/>
    <w:rsid w:val="605B6759"/>
    <w:rsid w:val="61C824CD"/>
    <w:rsid w:val="62317DFB"/>
    <w:rsid w:val="624E677E"/>
    <w:rsid w:val="65412EDC"/>
    <w:rsid w:val="666A2E9F"/>
    <w:rsid w:val="69527829"/>
    <w:rsid w:val="69A2465A"/>
    <w:rsid w:val="6C57134F"/>
    <w:rsid w:val="6D7C2123"/>
    <w:rsid w:val="6E052EC8"/>
    <w:rsid w:val="6E6340E8"/>
    <w:rsid w:val="6E8A2FFE"/>
    <w:rsid w:val="6E967D9A"/>
    <w:rsid w:val="6F40717C"/>
    <w:rsid w:val="6FB45462"/>
    <w:rsid w:val="714553C3"/>
    <w:rsid w:val="73436E43"/>
    <w:rsid w:val="73640AA8"/>
    <w:rsid w:val="756D4E1B"/>
    <w:rsid w:val="78AC4441"/>
    <w:rsid w:val="78FC2528"/>
    <w:rsid w:val="7CA26A81"/>
    <w:rsid w:val="7CF224B9"/>
    <w:rsid w:val="7D5F1DFC"/>
    <w:rsid w:val="7F5D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1"/>
    <w:pPr>
      <w:ind w:left="120" w:right="277" w:firstLine="640"/>
      <w:jc w:val="both"/>
    </w:pPr>
    <w:rPr>
      <w:sz w:val="32"/>
      <w:szCs w:val="32"/>
    </w:rPr>
  </w:style>
  <w:style w:type="paragraph" w:styleId="4">
    <w:name w:val="Balloon Text"/>
    <w:basedOn w:val="1"/>
    <w:link w:val="16"/>
    <w:qFormat/>
    <w:uiPriority w:val="0"/>
    <w:rPr>
      <w:sz w:val="18"/>
      <w:szCs w:val="18"/>
    </w:rPr>
  </w:style>
  <w:style w:type="paragraph" w:styleId="5">
    <w:name w:val="footer"/>
    <w:basedOn w:val="1"/>
    <w:link w:val="18"/>
    <w:qFormat/>
    <w:uiPriority w:val="0"/>
    <w:pPr>
      <w:tabs>
        <w:tab w:val="center" w:pos="4153"/>
        <w:tab w:val="right" w:pos="8306"/>
      </w:tabs>
      <w:snapToGrid w:val="0"/>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sz w:val="24"/>
      <w:lang w:val="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annotation reference"/>
    <w:basedOn w:val="10"/>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批注框文本 Char"/>
    <w:basedOn w:val="10"/>
    <w:link w:val="4"/>
    <w:qFormat/>
    <w:uiPriority w:val="0"/>
    <w:rPr>
      <w:rFonts w:ascii="仿宋" w:hAnsi="仿宋" w:eastAsia="仿宋" w:cs="仿宋"/>
      <w:sz w:val="18"/>
      <w:szCs w:val="18"/>
      <w:lang w:val="zh-CN" w:bidi="zh-CN"/>
    </w:rPr>
  </w:style>
  <w:style w:type="character" w:customStyle="1" w:styleId="17">
    <w:name w:val="页眉 Char"/>
    <w:basedOn w:val="10"/>
    <w:link w:val="6"/>
    <w:qFormat/>
    <w:uiPriority w:val="0"/>
    <w:rPr>
      <w:rFonts w:ascii="仿宋" w:hAnsi="仿宋" w:eastAsia="仿宋" w:cs="仿宋"/>
      <w:sz w:val="18"/>
      <w:szCs w:val="18"/>
      <w:lang w:val="zh-CN" w:bidi="zh-CN"/>
    </w:rPr>
  </w:style>
  <w:style w:type="character" w:customStyle="1" w:styleId="18">
    <w:name w:val="页脚 Char"/>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3570</Words>
  <Characters>3613</Characters>
  <Lines>30</Lines>
  <Paragraphs>8</Paragraphs>
  <TotalTime>0</TotalTime>
  <ScaleCrop>false</ScaleCrop>
  <LinksUpToDate>false</LinksUpToDate>
  <CharactersWithSpaces>3661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2023-08-11T03:33:00Z</dcterms:created>
  <dc:creator>Administrator</dc:creator>
  <cp:lastModifiedBy>阿楠Layla</cp:lastModifiedBy>
  <cp:lastPrinted>2024-06-28T02:15:00Z</cp:lastPrinted>
  <dcterms:modified xsi:type="dcterms:W3CDTF">2025-01-08T07:31:06Z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WPS Office</vt:lpwstr>
  </property>
  <property fmtid="{D5CDD505-2E9C-101B-9397-08002B2CF9AE}" pid="4" name="LastSaved">
    <vt:filetime>2021-01-12T00:00:00Z</vt:filetime>
  </property>
  <property fmtid="{D5CDD505-2E9C-101B-9397-08002B2CF9AE}" pid="5" name="KSOProductBuildVer">
    <vt:lpwstr>2052-12.1.0.19770</vt:lpwstr>
  </property>
  <property fmtid="{D5CDD505-2E9C-101B-9397-08002B2CF9AE}" pid="6" name="ICV">
    <vt:lpwstr>69EF7BE427294B64BB209284DB64430A_13</vt:lpwstr>
  </property>
  <property fmtid="{D5CDD505-2E9C-101B-9397-08002B2CF9AE}" pid="7" name="KSOTemplateDocerSaveRecord">
    <vt:lpwstr>eyJoZGlkIjoiZmI3MDNmOTViMzI4OGMwZDc2NDMzYjc0ZTdiOTk2MjIiLCJ1c2VySWQiOiIxMzk2ODg3MjUwIn0=</vt:lpwstr>
  </property>
</Properties>
</file>