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4568C6" w14:paraId="0EFC418A" w14:textId="77777777">
        <w:trPr>
          <w:cantSplit/>
        </w:trPr>
        <w:tc>
          <w:tcPr>
            <w:tcW w:w="5000" w:type="pct"/>
          </w:tcPr>
          <w:p w14:paraId="611FCA00" w14:textId="77777777" w:rsidR="004568C6" w:rsidRDefault="00000000">
            <w:pPr>
              <w:adjustRightInd w:val="0"/>
              <w:spacing w:line="1180" w:lineRule="exact"/>
              <w:jc w:val="center"/>
              <w:rPr>
                <w:rFonts w:ascii="方正小标宋_GBK" w:eastAsia="方正小标宋_GBK" w:hAnsi="方正小标宋_GBK" w:cs="方正小标宋_GBK" w:hint="eastAsia"/>
                <w:color w:val="FF0000"/>
                <w:sz w:val="52"/>
                <w:szCs w:val="5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FF0000"/>
                <w:w w:val="80"/>
                <w:sz w:val="72"/>
                <w:szCs w:val="72"/>
              </w:rPr>
              <w:t>湖南电气职业技术学院科研处文件</w:t>
            </w:r>
          </w:p>
        </w:tc>
      </w:tr>
      <w:tr w:rsidR="004568C6" w14:paraId="56591539" w14:textId="77777777">
        <w:trPr>
          <w:cantSplit/>
          <w:trHeight w:hRule="exact" w:val="435"/>
        </w:trPr>
        <w:tc>
          <w:tcPr>
            <w:tcW w:w="5000" w:type="pct"/>
            <w:vAlign w:val="center"/>
          </w:tcPr>
          <w:p w14:paraId="5126FF15" w14:textId="77777777" w:rsidR="004568C6" w:rsidRDefault="004568C6">
            <w:pPr>
              <w:rPr>
                <w:rFonts w:ascii="仿宋" w:eastAsia="仿宋" w:hAnsi="仿宋" w:cs="仿宋" w:hint="eastAsia"/>
              </w:rPr>
            </w:pPr>
          </w:p>
        </w:tc>
      </w:tr>
      <w:tr w:rsidR="004568C6" w14:paraId="0E82FB3E" w14:textId="77777777">
        <w:trPr>
          <w:cantSplit/>
        </w:trPr>
        <w:tc>
          <w:tcPr>
            <w:tcW w:w="5000" w:type="pct"/>
          </w:tcPr>
          <w:p w14:paraId="56D65B35" w14:textId="77777777" w:rsidR="004568C6" w:rsidRDefault="00000000">
            <w:pPr>
              <w:jc w:val="center"/>
              <w:rPr>
                <w:rFonts w:ascii="楷体" w:eastAsia="楷体" w:hAnsi="楷体" w:cs="楷体" w:hint="eastAsia"/>
              </w:rPr>
            </w:pPr>
            <w:r>
              <w:rPr>
                <w:rFonts w:ascii="仿宋" w:eastAsia="仿宋" w:hAnsi="仿宋" w:cs="仿宋" w:hint="eastAsia"/>
              </w:rPr>
              <w:t>科研处发〔2025〕1号</w:t>
            </w:r>
          </w:p>
        </w:tc>
      </w:tr>
      <w:tr w:rsidR="004568C6" w14:paraId="6EC2CC80" w14:textId="77777777">
        <w:trPr>
          <w:cantSplit/>
          <w:trHeight w:hRule="exact" w:val="113"/>
        </w:trPr>
        <w:tc>
          <w:tcPr>
            <w:tcW w:w="5000" w:type="pct"/>
            <w:tcBorders>
              <w:bottom w:val="single" w:sz="12" w:space="0" w:color="FF0000"/>
            </w:tcBorders>
            <w:vAlign w:val="center"/>
          </w:tcPr>
          <w:p w14:paraId="63FD0800" w14:textId="77777777" w:rsidR="004568C6" w:rsidRDefault="004568C6">
            <w:pPr>
              <w:jc w:val="center"/>
              <w:rPr>
                <w:rFonts w:ascii="方正仿宋_GBK" w:hAnsi="方正仿宋_GBK" w:hint="eastAsia"/>
                <w:b/>
                <w:sz w:val="21"/>
              </w:rPr>
            </w:pPr>
          </w:p>
        </w:tc>
      </w:tr>
    </w:tbl>
    <w:p w14:paraId="412D3274" w14:textId="77777777" w:rsidR="004568C6" w:rsidRDefault="004568C6">
      <w:pPr>
        <w:adjustRightInd w:val="0"/>
        <w:spacing w:after="520"/>
        <w:rPr>
          <w:rFonts w:eastAsia="方正仿宋_GBK"/>
        </w:rPr>
      </w:pPr>
    </w:p>
    <w:p w14:paraId="56EFF7B4" w14:textId="77777777" w:rsidR="004568C6" w:rsidRPr="00937012" w:rsidRDefault="00000000">
      <w:pPr>
        <w:pStyle w:val="a8"/>
        <w:rPr>
          <w:rFonts w:ascii="华文中宋" w:eastAsia="华文中宋" w:hAnsi="华文中宋" w:hint="eastAsia"/>
          <w:b/>
          <w:bCs/>
          <w:szCs w:val="44"/>
        </w:rPr>
      </w:pPr>
      <w:r w:rsidRPr="00937012">
        <w:rPr>
          <w:rFonts w:ascii="华文中宋" w:eastAsia="华文中宋" w:hAnsi="华文中宋" w:hint="eastAsia"/>
          <w:b/>
          <w:bCs/>
        </w:rPr>
        <w:t>湖南电气职业技术学院学风建设年度报告</w:t>
      </w:r>
    </w:p>
    <w:p w14:paraId="1CB9588D" w14:textId="77777777" w:rsidR="004568C6" w:rsidRPr="00937012" w:rsidRDefault="00000000">
      <w:pPr>
        <w:pStyle w:val="a7"/>
        <w:widowControl/>
        <w:jc w:val="center"/>
        <w:rPr>
          <w:rFonts w:ascii="华文中宋" w:eastAsia="华文中宋" w:hAnsi="华文中宋" w:hint="eastAsia"/>
          <w:b/>
          <w:bCs/>
          <w:kern w:val="2"/>
          <w:sz w:val="44"/>
        </w:rPr>
      </w:pPr>
      <w:r w:rsidRPr="00937012">
        <w:rPr>
          <w:rFonts w:ascii="华文中宋" w:eastAsia="华文中宋" w:hAnsi="华文中宋" w:hint="eastAsia"/>
          <w:b/>
          <w:bCs/>
          <w:kern w:val="2"/>
          <w:sz w:val="44"/>
        </w:rPr>
        <w:t>2024年度</w:t>
      </w:r>
    </w:p>
    <w:p w14:paraId="44A8C1D5" w14:textId="77777777" w:rsidR="004568C6" w:rsidRDefault="00000000">
      <w:pPr>
        <w:pStyle w:val="a3"/>
        <w:widowControl/>
      </w:pPr>
      <w:r>
        <w:t>学风是高校人才培养质量的关键体现，也是学校文化软实力的重要组成部分。</w:t>
      </w:r>
      <w:r>
        <w:rPr>
          <w:rFonts w:hint="eastAsia"/>
        </w:rPr>
        <w:t>2024</w:t>
      </w:r>
      <w:r>
        <w:t>年度，湖南电气职业技术学院围绕</w:t>
      </w:r>
      <w:r>
        <w:t>“</w:t>
      </w:r>
      <w:r>
        <w:t>立德树人</w:t>
      </w:r>
      <w:r>
        <w:t>”</w:t>
      </w:r>
      <w:r>
        <w:t>根本任务，深入贯彻落实党的教育方针，全面推进学风建设工作，取得了显著成效。以下是</w:t>
      </w:r>
      <w:r>
        <w:rPr>
          <w:rFonts w:hint="eastAsia"/>
        </w:rPr>
        <w:t>2024</w:t>
      </w:r>
      <w:r>
        <w:t>年</w:t>
      </w:r>
      <w:r>
        <w:rPr>
          <w:rFonts w:hint="eastAsia"/>
        </w:rPr>
        <w:t>度</w:t>
      </w:r>
      <w:r>
        <w:t>学风建设的主要做法和成果总结。</w:t>
      </w:r>
    </w:p>
    <w:p w14:paraId="7D51EE04" w14:textId="77777777" w:rsidR="004568C6" w:rsidRDefault="00000000">
      <w:pPr>
        <w:pStyle w:val="1"/>
        <w:widowControl/>
        <w:numPr>
          <w:ilvl w:val="0"/>
          <w:numId w:val="1"/>
        </w:numPr>
        <w:ind w:firstLineChars="0"/>
      </w:pPr>
      <w:r>
        <w:t>主要措施与实施情况</w:t>
      </w:r>
    </w:p>
    <w:p w14:paraId="55624B25" w14:textId="77777777" w:rsidR="004568C6" w:rsidRDefault="00000000">
      <w:pPr>
        <w:pStyle w:val="2"/>
        <w:widowControl/>
        <w:numPr>
          <w:ilvl w:val="0"/>
          <w:numId w:val="2"/>
        </w:numPr>
        <w:ind w:firstLineChars="0"/>
      </w:pPr>
      <w:r>
        <w:t>完善学风建设制度体系</w:t>
      </w:r>
    </w:p>
    <w:p w14:paraId="78FDCDF1" w14:textId="77777777" w:rsidR="004568C6" w:rsidRDefault="00000000">
      <w:pPr>
        <w:pStyle w:val="a3"/>
        <w:widowControl/>
      </w:pPr>
      <w:r>
        <w:t>学院建立和完善了一系列与学风建设相关的制度，包括</w:t>
      </w:r>
      <w:r>
        <w:rPr>
          <w:rFonts w:hint="eastAsia"/>
        </w:rPr>
        <w:t>《湖南电气职业技术学院学术不端行为查处细则（试行）》、</w:t>
      </w:r>
      <w:r>
        <w:t>学生行为规范、学习管理办法和奖惩机制等，形成了较为完善的学风建设保障体系等，营造了规范有序的学习氛围。</w:t>
      </w:r>
    </w:p>
    <w:p w14:paraId="16EC75C3" w14:textId="77777777" w:rsidR="004568C6" w:rsidRDefault="00000000">
      <w:pPr>
        <w:pStyle w:val="2"/>
        <w:widowControl/>
        <w:numPr>
          <w:ilvl w:val="0"/>
          <w:numId w:val="2"/>
        </w:numPr>
        <w:ind w:firstLineChars="0"/>
      </w:pPr>
      <w:r>
        <w:lastRenderedPageBreak/>
        <w:t>推进课堂教学改革</w:t>
      </w:r>
    </w:p>
    <w:p w14:paraId="5A3EF3ED" w14:textId="77777777" w:rsidR="004568C6" w:rsidRDefault="00000000">
      <w:pPr>
        <w:pStyle w:val="a3"/>
        <w:widowControl/>
      </w:pPr>
      <w:r>
        <w:t>积极探索基于实践的教学模式改革，将课堂教学与实训基地、行业实践相结合。借助奥的斯电梯实训基地、风电实训基地等平台，为学生提供高质量的学习体验，激发学习兴趣。</w:t>
      </w:r>
    </w:p>
    <w:p w14:paraId="36625A19" w14:textId="77777777" w:rsidR="004568C6" w:rsidRDefault="00000000">
      <w:pPr>
        <w:pStyle w:val="2"/>
        <w:widowControl/>
        <w:numPr>
          <w:ilvl w:val="0"/>
          <w:numId w:val="2"/>
        </w:numPr>
        <w:ind w:firstLineChars="0"/>
      </w:pPr>
      <w:r>
        <w:t>开展丰富的学术活动</w:t>
      </w:r>
    </w:p>
    <w:p w14:paraId="037EB06C" w14:textId="77777777" w:rsidR="004568C6" w:rsidRDefault="00000000">
      <w:pPr>
        <w:pStyle w:val="a3"/>
        <w:widowControl/>
      </w:pPr>
      <w:r>
        <w:rPr>
          <w:rFonts w:hint="eastAsia"/>
        </w:rPr>
        <w:t>举办学术讲座、创新创业论坛和科技竞赛等活动，学院围绕智能制造、风电运维、大数据等特色领域，定期邀请知名专家学者和行业领军人物开展讲座，为师生提供前沿知识和实践指导。同时，组织多层次、多主题的创新创业论坛，搭建校企合作平台，帮助师生深入了解行业发展趋势，增强创新意识和实践能力。学院还大力开展科技竞赛，鼓励师生共同参与国家级、省级赛事，并设立校内竞赛激发创意潜能，提升实践水平。</w:t>
      </w:r>
    </w:p>
    <w:p w14:paraId="55DE4E23" w14:textId="77777777" w:rsidR="004568C6" w:rsidRDefault="00000000">
      <w:pPr>
        <w:pStyle w:val="2"/>
        <w:widowControl/>
        <w:numPr>
          <w:ilvl w:val="0"/>
          <w:numId w:val="2"/>
        </w:numPr>
        <w:ind w:firstLineChars="0"/>
      </w:pPr>
      <w:r>
        <w:t>强化学术诚信教育</w:t>
      </w:r>
    </w:p>
    <w:p w14:paraId="48726AAC" w14:textId="77777777" w:rsidR="004568C6" w:rsidRDefault="00000000">
      <w:pPr>
        <w:pStyle w:val="a3"/>
        <w:widowControl/>
      </w:pPr>
      <w:r>
        <w:t>通过</w:t>
      </w:r>
      <w:r>
        <w:rPr>
          <w:rFonts w:hint="eastAsia"/>
        </w:rPr>
        <w:t>岗前培训、教师能力提升培训、</w:t>
      </w:r>
      <w:r>
        <w:t>主题班会、宣传展览和专题培训等形式，开展学术诚信教育，杜绝抄袭、作弊等不良行为。在</w:t>
      </w:r>
      <w:r>
        <w:rPr>
          <w:rFonts w:hint="eastAsia"/>
        </w:rPr>
        <w:t>课题申报、专利撰写、</w:t>
      </w:r>
      <w:r>
        <w:t>毕业设计、论文撰写环节中，引入查重系统，确保学术质量与诚信。</w:t>
      </w:r>
    </w:p>
    <w:p w14:paraId="1D2E66BA" w14:textId="77777777" w:rsidR="004568C6" w:rsidRDefault="00000000">
      <w:pPr>
        <w:pStyle w:val="1"/>
        <w:widowControl/>
        <w:numPr>
          <w:ilvl w:val="0"/>
          <w:numId w:val="1"/>
        </w:numPr>
        <w:ind w:firstLineChars="0"/>
      </w:pPr>
      <w:r>
        <w:t>学风建设成效</w:t>
      </w:r>
    </w:p>
    <w:p w14:paraId="1EC9D9A2" w14:textId="77777777" w:rsidR="004568C6" w:rsidRDefault="00000000">
      <w:pPr>
        <w:pStyle w:val="2"/>
        <w:widowControl/>
        <w:numPr>
          <w:ilvl w:val="0"/>
          <w:numId w:val="3"/>
        </w:numPr>
        <w:ind w:firstLineChars="0"/>
      </w:pPr>
      <w:r>
        <w:t>科技创新成果屡创佳绩</w:t>
      </w:r>
    </w:p>
    <w:p w14:paraId="1EFB2278" w14:textId="77777777" w:rsidR="004568C6" w:rsidRDefault="00000000">
      <w:pPr>
        <w:pStyle w:val="a3"/>
        <w:widowControl/>
      </w:pPr>
      <w:r>
        <w:rPr>
          <w:rFonts w:hint="eastAsia"/>
        </w:rPr>
        <w:t>全年获批</w:t>
      </w:r>
      <w:r>
        <w:rPr>
          <w:rFonts w:hint="eastAsia"/>
        </w:rPr>
        <w:t>1</w:t>
      </w:r>
      <w:r>
        <w:rPr>
          <w:rFonts w:hint="eastAsia"/>
        </w:rPr>
        <w:t>个省级风电科普基地；立项省级教科研课题</w:t>
      </w:r>
      <w:r>
        <w:rPr>
          <w:rFonts w:hint="eastAsia"/>
        </w:rPr>
        <w:t>52</w:t>
      </w:r>
      <w:r>
        <w:rPr>
          <w:rFonts w:hint="eastAsia"/>
        </w:rPr>
        <w:t>项，市厅级课题</w:t>
      </w:r>
      <w:r>
        <w:rPr>
          <w:rFonts w:hint="eastAsia"/>
        </w:rPr>
        <w:t>34</w:t>
      </w:r>
      <w:r>
        <w:rPr>
          <w:rFonts w:hint="eastAsia"/>
        </w:rPr>
        <w:t>项，其中湖南省自科基金委课题继续保持</w:t>
      </w:r>
      <w:r>
        <w:rPr>
          <w:rFonts w:hint="eastAsia"/>
        </w:rPr>
        <w:t>9</w:t>
      </w:r>
      <w:r>
        <w:rPr>
          <w:rFonts w:hint="eastAsia"/>
        </w:rPr>
        <w:t>个立项，湖南省教育厅科学研究优秀青年项目实现“大满贯”；</w:t>
      </w:r>
      <w:r>
        <w:rPr>
          <w:rFonts w:hint="eastAsia"/>
        </w:rPr>
        <w:lastRenderedPageBreak/>
        <w:t>签订横向技术服务合同</w:t>
      </w:r>
      <w:r>
        <w:rPr>
          <w:rFonts w:hint="eastAsia"/>
        </w:rPr>
        <w:t>9</w:t>
      </w:r>
      <w:r>
        <w:rPr>
          <w:rFonts w:hint="eastAsia"/>
        </w:rPr>
        <w:t>项，入校经费</w:t>
      </w:r>
      <w:r>
        <w:rPr>
          <w:rFonts w:hint="eastAsia"/>
        </w:rPr>
        <w:t>193</w:t>
      </w:r>
      <w:r>
        <w:rPr>
          <w:rFonts w:hint="eastAsia"/>
        </w:rPr>
        <w:t>万元；发表论文</w:t>
      </w:r>
      <w:r>
        <w:rPr>
          <w:rFonts w:hint="eastAsia"/>
        </w:rPr>
        <w:t>129</w:t>
      </w:r>
      <w:r>
        <w:rPr>
          <w:rFonts w:hint="eastAsia"/>
        </w:rPr>
        <w:t>篇，其中核心及以上论文</w:t>
      </w:r>
      <w:r>
        <w:rPr>
          <w:rFonts w:hint="eastAsia"/>
        </w:rPr>
        <w:t>8</w:t>
      </w:r>
      <w:r>
        <w:rPr>
          <w:rFonts w:hint="eastAsia"/>
        </w:rPr>
        <w:t>篇；获得发明专利</w:t>
      </w:r>
      <w:r>
        <w:rPr>
          <w:rFonts w:hint="eastAsia"/>
        </w:rPr>
        <w:t>35</w:t>
      </w:r>
      <w:r>
        <w:rPr>
          <w:rFonts w:hint="eastAsia"/>
        </w:rPr>
        <w:t>项；出版教材</w:t>
      </w:r>
      <w:r>
        <w:rPr>
          <w:rFonts w:hint="eastAsia"/>
        </w:rPr>
        <w:t>5</w:t>
      </w:r>
      <w:r>
        <w:rPr>
          <w:rFonts w:hint="eastAsia"/>
        </w:rPr>
        <w:t>部。科研成果在数量和质量上均有显著提升</w:t>
      </w:r>
      <w:r>
        <w:t>。</w:t>
      </w:r>
    </w:p>
    <w:p w14:paraId="740CD14F" w14:textId="77777777" w:rsidR="004568C6" w:rsidRDefault="00000000">
      <w:pPr>
        <w:pStyle w:val="2"/>
        <w:widowControl/>
        <w:numPr>
          <w:ilvl w:val="0"/>
          <w:numId w:val="3"/>
        </w:numPr>
        <w:ind w:firstLineChars="0"/>
      </w:pPr>
      <w:r>
        <w:t>学术诚信氛围浓厚</w:t>
      </w:r>
    </w:p>
    <w:p w14:paraId="349E82C8" w14:textId="447D7564" w:rsidR="004568C6" w:rsidRDefault="00000000" w:rsidP="00937012">
      <w:pPr>
        <w:pStyle w:val="a3"/>
        <w:widowControl/>
        <w:rPr>
          <w:rFonts w:hint="eastAsia"/>
        </w:rPr>
      </w:pPr>
      <w:r>
        <w:rPr>
          <w:rFonts w:hint="eastAsia"/>
        </w:rPr>
        <w:t>在全院师生的共同努力下，学院近年来未发生任何学术不端行为。学术诚信理念已深入人心，师生在各类学术活动中均保持高标准的道德规范，展现了严谨治学的优良传统，为学院学术声誉和学风建设奠定了坚实基础</w:t>
      </w:r>
      <w:r>
        <w:t>。</w:t>
      </w:r>
    </w:p>
    <w:p w14:paraId="3455C4D0" w14:textId="77777777" w:rsidR="004568C6" w:rsidRDefault="00000000">
      <w:pPr>
        <w:pStyle w:val="1"/>
        <w:widowControl/>
        <w:numPr>
          <w:ilvl w:val="0"/>
          <w:numId w:val="1"/>
        </w:numPr>
        <w:ind w:firstLineChars="0"/>
      </w:pPr>
      <w:r>
        <w:t>存在的问题与改进方向</w:t>
      </w:r>
    </w:p>
    <w:p w14:paraId="59D0839C" w14:textId="77777777" w:rsidR="004568C6" w:rsidRDefault="00000000">
      <w:pPr>
        <w:pStyle w:val="a3"/>
        <w:widowControl/>
      </w:pPr>
      <w:r>
        <w:t>尽管取得了一定成绩，但学风建设中仍存在一些不足，如个别</w:t>
      </w:r>
      <w:r>
        <w:rPr>
          <w:rFonts w:hint="eastAsia"/>
        </w:rPr>
        <w:t>师</w:t>
      </w:r>
      <w:r>
        <w:t>生学习主动性不足，学术研究的深度和广度仍有待提升。</w:t>
      </w:r>
    </w:p>
    <w:p w14:paraId="1453C595" w14:textId="77777777" w:rsidR="004568C6" w:rsidRDefault="00000000">
      <w:pPr>
        <w:pStyle w:val="a3"/>
        <w:widowControl/>
      </w:pPr>
      <w:r>
        <w:t>针对上述问题，学院将在以下几个方面加强改进：</w:t>
      </w:r>
    </w:p>
    <w:p w14:paraId="5F4FB16C" w14:textId="77777777" w:rsidR="004568C6" w:rsidRDefault="00000000">
      <w:pPr>
        <w:pStyle w:val="a3"/>
        <w:widowControl/>
        <w:numPr>
          <w:ilvl w:val="0"/>
          <w:numId w:val="4"/>
        </w:numPr>
        <w:ind w:firstLineChars="0"/>
      </w:pPr>
      <w:r>
        <w:t>加强对学生自主学习能力的培养，开展更多以学生为中心的教学改革项目。</w:t>
      </w:r>
    </w:p>
    <w:p w14:paraId="1F446B59" w14:textId="77777777" w:rsidR="004568C6" w:rsidRDefault="00000000">
      <w:pPr>
        <w:pStyle w:val="a3"/>
        <w:widowControl/>
        <w:numPr>
          <w:ilvl w:val="0"/>
          <w:numId w:val="4"/>
        </w:numPr>
        <w:ind w:firstLineChars="0"/>
      </w:pPr>
      <w:r>
        <w:rPr>
          <w:spacing w:val="-2"/>
        </w:rPr>
        <w:t>提升教师教学能力，优化课堂管理，营造更积极的学</w:t>
      </w:r>
      <w:r>
        <w:t>习环境。</w:t>
      </w:r>
    </w:p>
    <w:p w14:paraId="23623A36" w14:textId="77777777" w:rsidR="004568C6" w:rsidRDefault="00000000">
      <w:pPr>
        <w:pStyle w:val="a3"/>
        <w:widowControl/>
        <w:numPr>
          <w:ilvl w:val="0"/>
          <w:numId w:val="4"/>
        </w:numPr>
        <w:ind w:firstLineChars="0"/>
      </w:pPr>
      <w:r>
        <w:t>加大科研资源投入，鼓励</w:t>
      </w:r>
      <w:r>
        <w:rPr>
          <w:rFonts w:hint="eastAsia"/>
        </w:rPr>
        <w:t>师</w:t>
      </w:r>
      <w:r>
        <w:t>生参与高水平的科研项目和学术交流活动。</w:t>
      </w:r>
    </w:p>
    <w:p w14:paraId="2846BAD2" w14:textId="77777777" w:rsidR="004568C6" w:rsidRDefault="00000000">
      <w:pPr>
        <w:pStyle w:val="a3"/>
        <w:widowControl/>
      </w:pPr>
      <w:r>
        <w:rPr>
          <w:rFonts w:hint="eastAsia"/>
        </w:rPr>
        <w:t>2024</w:t>
      </w:r>
      <w:r>
        <w:t>年度，湖南电气职业技术学院的学风建设取得了显著成效，为培养高素质、创新型技术人才打下了坚实基础。学院将继续坚持以学生发展为中心，以学术诚信为根本，以创新实践为导</w:t>
      </w:r>
      <w:r>
        <w:lastRenderedPageBreak/>
        <w:t>向，全面推动学风建设迈向新台阶，为社会输送更多德才兼备的优秀人才。</w:t>
      </w:r>
    </w:p>
    <w:p w14:paraId="1BD3713F" w14:textId="77777777" w:rsidR="004568C6" w:rsidRDefault="004568C6">
      <w:pPr>
        <w:pStyle w:val="a3"/>
        <w:rPr>
          <w:rFonts w:ascii="仿宋" w:eastAsia="仿宋" w:hAnsi="仿宋" w:cs="仿宋" w:hint="eastAsia"/>
        </w:rPr>
      </w:pPr>
    </w:p>
    <w:p w14:paraId="5560BF00" w14:textId="77777777" w:rsidR="004568C6" w:rsidRDefault="004568C6">
      <w:pPr>
        <w:spacing w:line="320" w:lineRule="exact"/>
        <w:rPr>
          <w:rFonts w:ascii="仿宋" w:eastAsia="仿宋" w:hAnsi="仿宋" w:cs="仿宋" w:hint="eastAsia"/>
        </w:rPr>
      </w:pPr>
    </w:p>
    <w:p w14:paraId="56C23F00" w14:textId="77777777" w:rsidR="004568C6" w:rsidRDefault="00000000">
      <w:pPr>
        <w:wordWrap w:val="0"/>
        <w:jc w:val="right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 xml:space="preserve">                       湖南电气职业技术学院科研处  </w:t>
      </w:r>
      <w:r>
        <w:rPr>
          <w:rFonts w:ascii="仿宋" w:eastAsia="仿宋" w:hAnsi="仿宋" w:cs="仿宋" w:hint="eastAsia"/>
        </w:rPr>
        <w:br/>
        <w:t xml:space="preserve">2025年1月10日   </w:t>
      </w:r>
    </w:p>
    <w:tbl>
      <w:tblPr>
        <w:tblpPr w:leftFromText="181" w:rightFromText="181" w:horzAnchor="margin" w:tblpXSpec="center" w:tblpYSpec="bottom"/>
        <w:tblOverlap w:val="never"/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8"/>
        <w:gridCol w:w="4436"/>
      </w:tblGrid>
      <w:tr w:rsidR="004568C6" w14:paraId="1DD96E54" w14:textId="77777777">
        <w:trPr>
          <w:jc w:val="center"/>
        </w:trPr>
        <w:tc>
          <w:tcPr>
            <w:tcW w:w="440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57C25B3" w14:textId="77777777" w:rsidR="004568C6" w:rsidRDefault="00000000">
            <w:pPr>
              <w:ind w:leftChars="100" w:left="316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印发机关</w:t>
            </w:r>
          </w:p>
        </w:tc>
        <w:tc>
          <w:tcPr>
            <w:tcW w:w="443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9325B67" w14:textId="368324EC" w:rsidR="004568C6" w:rsidRDefault="00000000">
            <w:pPr>
              <w:ind w:rightChars="100" w:right="316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20XX年</w:t>
            </w:r>
            <w:r w:rsidR="00937012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937012">
              <w:rPr>
                <w:rFonts w:ascii="仿宋" w:eastAsia="仿宋" w:hAnsi="仿宋" w:cs="仿宋" w:hint="eastAsia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日印发</w:t>
            </w:r>
          </w:p>
        </w:tc>
      </w:tr>
      <w:tr w:rsidR="004568C6" w14:paraId="112B00B8" w14:textId="77777777">
        <w:trPr>
          <w:trHeight w:hRule="exact" w:val="130"/>
          <w:jc w:val="center"/>
        </w:trPr>
        <w:tc>
          <w:tcPr>
            <w:tcW w:w="4408" w:type="dxa"/>
            <w:tcBorders>
              <w:top w:val="single" w:sz="8" w:space="0" w:color="auto"/>
              <w:bottom w:val="nil"/>
            </w:tcBorders>
          </w:tcPr>
          <w:p w14:paraId="2EEC24B1" w14:textId="77777777" w:rsidR="004568C6" w:rsidRDefault="004568C6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4436" w:type="dxa"/>
            <w:tcBorders>
              <w:top w:val="single" w:sz="8" w:space="0" w:color="auto"/>
              <w:bottom w:val="nil"/>
            </w:tcBorders>
          </w:tcPr>
          <w:p w14:paraId="2EDAB03D" w14:textId="77777777" w:rsidR="004568C6" w:rsidRDefault="004568C6">
            <w:pPr>
              <w:ind w:rightChars="100" w:right="316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26DBFEA" w14:textId="77777777" w:rsidR="004568C6" w:rsidRDefault="004568C6">
      <w:pPr>
        <w:rPr>
          <w:rFonts w:ascii="仿宋" w:eastAsia="仿宋" w:hAnsi="仿宋" w:cs="仿宋" w:hint="eastAsia"/>
        </w:rPr>
      </w:pPr>
    </w:p>
    <w:p w14:paraId="54C12036" w14:textId="77777777" w:rsidR="004568C6" w:rsidRDefault="004568C6"/>
    <w:sectPr w:rsidR="004568C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62" w:right="1474" w:bottom="1848" w:left="1587" w:header="851" w:footer="992" w:gutter="0"/>
      <w:cols w:space="425"/>
      <w:docGrid w:type="linesAndChars" w:linePitch="592" w:charSpace="1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F187C" w14:textId="77777777" w:rsidR="00D27C3E" w:rsidRDefault="00D27C3E">
      <w:r>
        <w:separator/>
      </w:r>
    </w:p>
  </w:endnote>
  <w:endnote w:type="continuationSeparator" w:id="0">
    <w:p w14:paraId="3D96059E" w14:textId="77777777" w:rsidR="00D27C3E" w:rsidRDefault="00D2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A3C9" w14:textId="77777777" w:rsidR="004568C6" w:rsidRDefault="00000000">
    <w:pPr>
      <w:pStyle w:val="a4"/>
      <w:spacing w:line="471" w:lineRule="auto"/>
      <w:ind w:leftChars="100" w:left="308"/>
      <w:jc w:val="left"/>
      <w:rPr>
        <w:rStyle w:val="aa"/>
        <w:rFonts w:ascii="宋体" w:hAnsi="宋体" w:hint="eastAsia"/>
        <w:sz w:val="28"/>
      </w:rPr>
    </w:pPr>
    <w:r>
      <w:rPr>
        <w:rStyle w:val="aa"/>
        <w:rFonts w:ascii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Style w:val="aa"/>
        <w:rFonts w:ascii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a"/>
        <w:rFonts w:ascii="宋体" w:hAnsi="宋体"/>
        <w:sz w:val="28"/>
      </w:rPr>
      <w:t>2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a"/>
        <w:rFonts w:ascii="宋体" w:hAnsi="宋体"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0E06A" w14:textId="77777777" w:rsidR="004568C6" w:rsidRDefault="00000000">
    <w:pPr>
      <w:pStyle w:val="a4"/>
      <w:wordWrap w:val="0"/>
      <w:spacing w:line="471" w:lineRule="auto"/>
      <w:ind w:rightChars="100" w:right="308"/>
      <w:jc w:val="right"/>
      <w:rPr>
        <w:rFonts w:ascii="楷体_GB2312" w:eastAsia="楷体_GB2312"/>
        <w:sz w:val="28"/>
      </w:rPr>
    </w:pPr>
    <w:r>
      <w:rPr>
        <w:rStyle w:val="aa"/>
        <w:rFonts w:ascii="宋体" w:hAnsi="宋体" w:hint="eastAsia"/>
        <w:sz w:val="28"/>
      </w:rPr>
      <w:t xml:space="preserve">— </w:t>
    </w:r>
    <w:r>
      <w:rPr>
        <w:rFonts w:ascii="宋体" w:eastAsia="宋体" w:hAnsi="宋体" w:hint="eastAsia"/>
        <w:sz w:val="28"/>
      </w:rPr>
      <w:fldChar w:fldCharType="begin"/>
    </w:r>
    <w:r>
      <w:rPr>
        <w:rStyle w:val="aa"/>
        <w:rFonts w:ascii="宋体" w:hAnsi="宋体" w:hint="eastAsia"/>
        <w:sz w:val="28"/>
      </w:rPr>
      <w:instrText xml:space="preserve"> PAGE </w:instrText>
    </w:r>
    <w:r>
      <w:rPr>
        <w:rFonts w:ascii="宋体" w:eastAsia="宋体" w:hAnsi="宋体" w:hint="eastAsia"/>
        <w:sz w:val="28"/>
      </w:rPr>
      <w:fldChar w:fldCharType="separate"/>
    </w:r>
    <w:r>
      <w:rPr>
        <w:rStyle w:val="aa"/>
        <w:rFonts w:ascii="宋体" w:hAnsi="宋体"/>
        <w:sz w:val="28"/>
      </w:rPr>
      <w:t>1</w:t>
    </w:r>
    <w:r>
      <w:rPr>
        <w:rFonts w:ascii="宋体" w:eastAsia="宋体" w:hAnsi="宋体" w:hint="eastAsia"/>
        <w:sz w:val="28"/>
      </w:rPr>
      <w:fldChar w:fldCharType="end"/>
    </w:r>
    <w:r>
      <w:rPr>
        <w:rFonts w:ascii="宋体" w:eastAsia="宋体" w:hAnsi="宋体" w:hint="eastAsia"/>
        <w:sz w:val="28"/>
      </w:rPr>
      <w:t xml:space="preserve"> </w:t>
    </w:r>
    <w:r>
      <w:rPr>
        <w:rStyle w:val="aa"/>
        <w:rFonts w:ascii="宋体" w:hAnsi="宋体"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72BC" w14:textId="77777777" w:rsidR="00D27C3E" w:rsidRDefault="00D27C3E">
      <w:r>
        <w:separator/>
      </w:r>
    </w:p>
  </w:footnote>
  <w:footnote w:type="continuationSeparator" w:id="0">
    <w:p w14:paraId="07B4DC53" w14:textId="77777777" w:rsidR="00D27C3E" w:rsidRDefault="00D2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ED876" w14:textId="77777777" w:rsidR="004568C6" w:rsidRDefault="004568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270F" w14:textId="77777777" w:rsidR="004568C6" w:rsidRDefault="004568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5F15855"/>
    <w:multiLevelType w:val="singleLevel"/>
    <w:tmpl w:val="C5F15855"/>
    <w:lvl w:ilvl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1" w15:restartNumberingAfterBreak="0">
    <w:nsid w:val="C8CC47A5"/>
    <w:multiLevelType w:val="singleLevel"/>
    <w:tmpl w:val="C8CC47A5"/>
    <w:lvl w:ilvl="0">
      <w:start w:val="1"/>
      <w:numFmt w:val="chineseCounting"/>
      <w:suff w:val="nothing"/>
      <w:lvlText w:val="%1、"/>
      <w:lvlJc w:val="left"/>
      <w:pPr>
        <w:ind w:left="0" w:firstLine="616"/>
      </w:pPr>
      <w:rPr>
        <w:rFonts w:hint="eastAsia"/>
      </w:rPr>
    </w:lvl>
  </w:abstractNum>
  <w:abstractNum w:abstractNumId="2" w15:restartNumberingAfterBreak="0">
    <w:nsid w:val="E0866252"/>
    <w:multiLevelType w:val="singleLevel"/>
    <w:tmpl w:val="E0866252"/>
    <w:lvl w:ilvl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abstractNum w:abstractNumId="3" w15:restartNumberingAfterBreak="0">
    <w:nsid w:val="23111757"/>
    <w:multiLevelType w:val="singleLevel"/>
    <w:tmpl w:val="23111757"/>
    <w:lvl w:ilvl="0">
      <w:start w:val="1"/>
      <w:numFmt w:val="decimal"/>
      <w:suff w:val="nothing"/>
      <w:lvlText w:val="%1．"/>
      <w:lvlJc w:val="left"/>
      <w:pPr>
        <w:ind w:left="0" w:firstLine="616"/>
      </w:pPr>
      <w:rPr>
        <w:rFonts w:hint="default"/>
      </w:rPr>
    </w:lvl>
  </w:abstractNum>
  <w:num w:numId="1" w16cid:durableId="659119357">
    <w:abstractNumId w:val="1"/>
  </w:num>
  <w:num w:numId="2" w16cid:durableId="1307976650">
    <w:abstractNumId w:val="3"/>
  </w:num>
  <w:num w:numId="3" w16cid:durableId="287974998">
    <w:abstractNumId w:val="2"/>
  </w:num>
  <w:num w:numId="4" w16cid:durableId="2129469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401055"/>
    <w:rsid w:val="002B5B85"/>
    <w:rsid w:val="004568C6"/>
    <w:rsid w:val="00937012"/>
    <w:rsid w:val="00D27C3E"/>
    <w:rsid w:val="6F40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CA113A"/>
  <w15:docId w15:val="{DE8CB029-D8FE-43B2-A79A-FDF2024A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eastAsia="仿宋_GB2312"/>
      <w:spacing w:val="-6"/>
      <w:kern w:val="2"/>
      <w:sz w:val="32"/>
      <w:szCs w:val="32"/>
    </w:rPr>
  </w:style>
  <w:style w:type="paragraph" w:styleId="1">
    <w:name w:val="heading 1"/>
    <w:next w:val="a"/>
    <w:qFormat/>
    <w:pPr>
      <w:widowControl w:val="0"/>
      <w:overflowPunct w:val="0"/>
      <w:topLinePunct/>
      <w:ind w:firstLineChars="200" w:firstLine="628"/>
      <w:jc w:val="both"/>
      <w:outlineLvl w:val="0"/>
    </w:pPr>
    <w:rPr>
      <w:rFonts w:eastAsia="黑体"/>
      <w:spacing w:val="-6"/>
      <w:kern w:val="2"/>
      <w:sz w:val="32"/>
      <w:szCs w:val="32"/>
    </w:rPr>
  </w:style>
  <w:style w:type="paragraph" w:styleId="2">
    <w:name w:val="heading 2"/>
    <w:next w:val="a"/>
    <w:unhideWhenUsed/>
    <w:qFormat/>
    <w:pPr>
      <w:widowControl w:val="0"/>
      <w:overflowPunct w:val="0"/>
      <w:topLinePunct/>
      <w:ind w:firstLineChars="200" w:firstLine="628"/>
      <w:jc w:val="both"/>
      <w:outlineLvl w:val="1"/>
    </w:pPr>
    <w:rPr>
      <w:rFonts w:eastAsia="楷体"/>
      <w:spacing w:val="-6"/>
      <w:kern w:val="2"/>
      <w:sz w:val="32"/>
      <w:szCs w:val="32"/>
    </w:rPr>
  </w:style>
  <w:style w:type="paragraph" w:styleId="3">
    <w:name w:val="heading 3"/>
    <w:next w:val="a"/>
    <w:semiHidden/>
    <w:unhideWhenUsed/>
    <w:qFormat/>
    <w:pPr>
      <w:widowControl w:val="0"/>
      <w:overflowPunct w:val="0"/>
      <w:topLinePunct/>
      <w:ind w:firstLineChars="200" w:firstLine="628"/>
      <w:jc w:val="both"/>
      <w:outlineLvl w:val="2"/>
    </w:pPr>
    <w:rPr>
      <w:rFonts w:eastAsia="仿宋"/>
      <w:spacing w:val="-6"/>
      <w:kern w:val="2"/>
      <w:sz w:val="32"/>
      <w:szCs w:val="32"/>
    </w:rPr>
  </w:style>
  <w:style w:type="paragraph" w:styleId="4">
    <w:name w:val="heading 4"/>
    <w:next w:val="a"/>
    <w:semiHidden/>
    <w:unhideWhenUsed/>
    <w:qFormat/>
    <w:pPr>
      <w:widowControl w:val="0"/>
      <w:overflowPunct w:val="0"/>
      <w:topLinePunct/>
      <w:ind w:firstLineChars="200" w:firstLine="628"/>
      <w:jc w:val="both"/>
      <w:outlineLvl w:val="3"/>
    </w:pPr>
    <w:rPr>
      <w:rFonts w:eastAsia="仿宋"/>
      <w:spacing w:val="-6"/>
      <w:kern w:val="2"/>
      <w:sz w:val="32"/>
      <w:szCs w:val="32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eastAsia="仿宋_GB2312"/>
      <w:spacing w:val="-6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eastAsia="仿宋_GB2312"/>
      <w:spacing w:val="-6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eastAsia="仿宋_GB2312"/>
      <w:spacing w:val="-6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eastAsia="仿宋_GB2312"/>
      <w:spacing w:val="-6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eastAsia="仿宋_GB2312"/>
      <w:spacing w:val="-6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overflowPunct w:val="0"/>
      <w:topLinePunct/>
      <w:ind w:firstLineChars="200" w:firstLine="632"/>
      <w:jc w:val="both"/>
    </w:pPr>
    <w:rPr>
      <w:rFonts w:eastAsia="仿宋_GB2312"/>
      <w:spacing w:val="-6"/>
      <w:kern w:val="2"/>
      <w:sz w:val="32"/>
      <w:szCs w:val="32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eastAsia="方正小标宋_GBK"/>
      <w:spacing w:val="-6"/>
      <w:kern w:val="28"/>
      <w:sz w:val="32"/>
      <w:szCs w:val="32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styleId="a8">
    <w:name w:val="Title"/>
    <w:qFormat/>
    <w:pPr>
      <w:widowControl w:val="0"/>
      <w:overflowPunct w:val="0"/>
      <w:topLinePunct/>
      <w:jc w:val="center"/>
    </w:pPr>
    <w:rPr>
      <w:rFonts w:eastAsia="方正小标宋_GBK"/>
      <w:spacing w:val="-6"/>
      <w:kern w:val="2"/>
      <w:sz w:val="44"/>
      <w:szCs w:val="32"/>
    </w:rPr>
  </w:style>
  <w:style w:type="character" w:styleId="a9">
    <w:name w:val="Strong"/>
    <w:basedOn w:val="a0"/>
    <w:qFormat/>
    <w:rPr>
      <w:b/>
    </w:rPr>
  </w:style>
  <w:style w:type="character" w:styleId="aa">
    <w:name w:val="page number"/>
    <w:qFormat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虎</dc:creator>
  <cp:lastModifiedBy>Hui Yang</cp:lastModifiedBy>
  <cp:revision>2</cp:revision>
  <dcterms:created xsi:type="dcterms:W3CDTF">2025-01-19T01:51:00Z</dcterms:created>
  <dcterms:modified xsi:type="dcterms:W3CDTF">2025-01-19T01:51:00Z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CF307DD642DC49E8858A04BE79DE3E9A_11</vt:lpwstr>
  </property>
  <property fmtid="{D5CDD505-2E9C-101B-9397-08002B2CF9AE}" pid="4" name="KSOTemplateDocerSaveRecord">
    <vt:lpwstr>eyJoZGlkIjoiN2RmMTEyZTVjZTliYjc5Yzk2YWE0ZGVkNWQ1MTQyYjMiLCJ1c2VySWQiOiIyMzg1ODkwMzUifQ==</vt:lpwstr>
  </property>
</Properties>
</file>