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DFC88">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r>
        <w:rPr>
          <w:rFonts w:hint="eastAsia" w:ascii="仿宋_GB2312" w:hAnsi="仿宋_GB2312" w:eastAsia="仿宋_GB2312" w:cs="仿宋_GB2312"/>
          <w:sz w:val="32"/>
          <w:szCs w:val="32"/>
          <w:lang w:val="en-US" w:eastAsia="zh-CN"/>
        </w:rPr>
        <w:t>-</w:t>
      </w:r>
      <w:r>
        <w:rPr>
          <w:rFonts w:hint="eastAsia" w:ascii="Times New Roman" w:hAnsi="Times New Roman" w:eastAsia="黑体" w:cs="黑体"/>
          <w:sz w:val="32"/>
          <w:szCs w:val="32"/>
          <w:lang w:val="en-US" w:eastAsia="zh-CN"/>
        </w:rPr>
        <w:t>1</w:t>
      </w:r>
    </w:p>
    <w:p w14:paraId="00842C64">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Times New Roman" w:hAnsi="Times New Roman" w:eastAsia="黑体" w:cs="黑体"/>
          <w:sz w:val="32"/>
          <w:szCs w:val="32"/>
          <w:lang w:val="en-US" w:eastAsia="zh-CN"/>
        </w:rPr>
      </w:pPr>
    </w:p>
    <w:p w14:paraId="383C4734">
      <w:pPr>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年度“中国流动科技馆湖南巡展项目”</w:t>
      </w:r>
    </w:p>
    <w:p w14:paraId="39AC5D97">
      <w:pPr>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绩效评价评审方案</w:t>
      </w:r>
    </w:p>
    <w:p w14:paraId="485606C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p>
    <w:p w14:paraId="0323860F">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根据中国科协办公厅关于印发《中国流动科技馆项目考核管理暂行办法》的通知（科协办函普字〔2022〕127号）</w:t>
      </w:r>
      <w:r>
        <w:rPr>
          <w:rFonts w:hint="eastAsia" w:ascii="Times New Roman" w:hAnsi="Times New Roman" w:eastAsia="仿宋_GB2312" w:cs="宋体"/>
          <w:color w:val="000000" w:themeColor="text1"/>
          <w:kern w:val="0"/>
          <w:sz w:val="32"/>
          <w:szCs w:val="32"/>
          <w14:textFill>
            <w14:solidFill>
              <w14:schemeClr w14:val="tx1"/>
            </w14:solidFill>
          </w14:textFill>
        </w:rPr>
        <w:t>要求，省科协将对202</w:t>
      </w:r>
      <w:r>
        <w:rPr>
          <w:rFonts w:hint="eastAsia" w:ascii="Times New Roman" w:hAnsi="Times New Roman" w:eastAsia="仿宋_GB2312" w:cs="宋体"/>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年度“中国流动科技馆湖南巡展项目”进行绩效评价评审，</w:t>
      </w:r>
      <w:r>
        <w:rPr>
          <w:rFonts w:hint="eastAsia" w:ascii="Times New Roman" w:hAnsi="Times New Roman" w:eastAsia="仿宋_GB2312" w:cs="仿宋_GB2312"/>
          <w:color w:val="000000" w:themeColor="text1"/>
          <w:kern w:val="0"/>
          <w:sz w:val="32"/>
          <w:szCs w:val="32"/>
          <w14:textFill>
            <w14:solidFill>
              <w14:schemeClr w14:val="tx1"/>
            </w14:solidFill>
          </w14:textFill>
        </w:rPr>
        <w:t>现制定评审方案如下：</w:t>
      </w:r>
    </w:p>
    <w:p w14:paraId="67F81C55">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14:textFill>
            <w14:solidFill>
              <w14:schemeClr w14:val="tx1"/>
            </w14:solidFill>
          </w14:textFill>
        </w:rPr>
        <w:t>一、评审对象</w:t>
      </w:r>
    </w:p>
    <w:p w14:paraId="7EA8DD1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2025年度中国流动科技馆湖南巡展项目站点15个</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其中</w:t>
      </w:r>
      <w:r>
        <w:rPr>
          <w:rFonts w:hint="eastAsia" w:ascii="Times New Roman" w:hAnsi="Times New Roman" w:eastAsia="仿宋_GB2312" w:cs="仿宋_GB2312"/>
          <w:color w:val="000000" w:themeColor="text1"/>
          <w:kern w:val="0"/>
          <w:sz w:val="32"/>
          <w:szCs w:val="32"/>
          <w14:textFill>
            <w14:solidFill>
              <w14:schemeClr w14:val="tx1"/>
            </w14:solidFill>
          </w14:textFill>
        </w:rPr>
        <w:t>常规巡展站点9个</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分别是</w:t>
      </w:r>
      <w:r>
        <w:rPr>
          <w:rFonts w:hint="eastAsia" w:ascii="Times New Roman" w:hAnsi="Times New Roman" w:eastAsia="仿宋_GB2312" w:cs="仿宋_GB2312"/>
          <w:color w:val="000000" w:themeColor="text1"/>
          <w:kern w:val="0"/>
          <w:sz w:val="32"/>
          <w:szCs w:val="32"/>
          <w:lang w:val="en"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江华瑶族自治县站、平江县站、凤凰县站、宁远县站、宜章县站、泸溪县站、涟源县站、临武县站、桃江县站；区域换展站点6个</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分别是</w:t>
      </w:r>
      <w:r>
        <w:rPr>
          <w:rFonts w:hint="eastAsia" w:ascii="Times New Roman" w:hAnsi="Times New Roman" w:eastAsia="仿宋_GB2312" w:cs="仿宋_GB2312"/>
          <w:color w:val="000000" w:themeColor="text1"/>
          <w:kern w:val="0"/>
          <w:sz w:val="32"/>
          <w:szCs w:val="32"/>
          <w:lang w:val="en"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芷江侗族自治县站</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通道侗族自治县站、靖州苗族侗族自治县站、新晃侗族自治县站、麻阳苗族自治县站、会同县站。</w:t>
      </w:r>
    </w:p>
    <w:p w14:paraId="43E9564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14:textFill>
            <w14:solidFill>
              <w14:schemeClr w14:val="tx1"/>
            </w14:solidFill>
          </w14:textFill>
        </w:rPr>
        <w:t>二、评审程序</w:t>
      </w:r>
    </w:p>
    <w:p w14:paraId="58F35D08">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楷体_GB2312" w:cs="楷体"/>
          <w:color w:val="000000" w:themeColor="text1"/>
          <w:kern w:val="0"/>
          <w:sz w:val="32"/>
          <w:szCs w:val="32"/>
          <w14:textFill>
            <w14:solidFill>
              <w14:schemeClr w14:val="tx1"/>
            </w14:solidFill>
          </w14:textFill>
        </w:rPr>
      </w:pPr>
      <w:r>
        <w:rPr>
          <w:rFonts w:hint="eastAsia" w:ascii="Times New Roman" w:hAnsi="Times New Roman" w:eastAsia="楷体_GB2312" w:cs="楷体"/>
          <w:color w:val="000000" w:themeColor="text1"/>
          <w:kern w:val="0"/>
          <w:sz w:val="32"/>
          <w:szCs w:val="32"/>
          <w14:textFill>
            <w14:solidFill>
              <w14:schemeClr w14:val="tx1"/>
            </w14:solidFill>
          </w14:textFill>
        </w:rPr>
        <w:t>（一）资格初审</w:t>
      </w:r>
    </w:p>
    <w:p w14:paraId="12D6DBAD">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省</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科协科普部</w:t>
      </w:r>
      <w:r>
        <w:rPr>
          <w:rFonts w:hint="eastAsia" w:ascii="Times New Roman" w:hAnsi="Times New Roman" w:eastAsia="仿宋_GB2312" w:cs="仿宋_GB2312"/>
          <w:color w:val="000000" w:themeColor="text1"/>
          <w:kern w:val="0"/>
          <w:sz w:val="32"/>
          <w:szCs w:val="32"/>
          <w14:textFill>
            <w14:solidFill>
              <w14:schemeClr w14:val="tx1"/>
            </w14:solidFill>
          </w14:textFill>
        </w:rPr>
        <w:t>按照</w:t>
      </w:r>
      <w:r>
        <w:rPr>
          <w:rFonts w:hint="eastAsia" w:ascii="Times New Roman" w:hAnsi="Times New Roman" w:eastAsia="仿宋_GB2312"/>
          <w:color w:val="000000" w:themeColor="text1"/>
          <w:kern w:val="0"/>
          <w:sz w:val="32"/>
          <w:szCs w:val="32"/>
          <w14:textFill>
            <w14:solidFill>
              <w14:schemeClr w14:val="tx1"/>
            </w14:solidFill>
          </w14:textFill>
        </w:rPr>
        <w:t>《中国流动科技馆项目考核管理暂行办法》的</w:t>
      </w:r>
      <w:r>
        <w:rPr>
          <w:rFonts w:hint="eastAsia" w:ascii="Times New Roman" w:hAnsi="Times New Roman" w:eastAsia="仿宋_GB2312" w:cs="仿宋_GB2312"/>
          <w:color w:val="000000" w:themeColor="text1"/>
          <w:kern w:val="0"/>
          <w:sz w:val="32"/>
          <w:szCs w:val="32"/>
          <w14:textFill>
            <w14:solidFill>
              <w14:schemeClr w14:val="tx1"/>
            </w14:solidFill>
          </w14:textFill>
        </w:rPr>
        <w:t>要求</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对评审对象上报的材料进行资格审查，对符合要求的材料交专家评审</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会</w:t>
      </w:r>
      <w:r>
        <w:rPr>
          <w:rFonts w:hint="eastAsia" w:ascii="Times New Roman" w:hAnsi="Times New Roman" w:eastAsia="仿宋_GB2312" w:cs="仿宋_GB2312"/>
          <w:color w:val="000000" w:themeColor="text1"/>
          <w:kern w:val="0"/>
          <w:sz w:val="32"/>
          <w:szCs w:val="32"/>
          <w14:textFill>
            <w14:solidFill>
              <w14:schemeClr w14:val="tx1"/>
            </w14:solidFill>
          </w14:textFill>
        </w:rPr>
        <w:t>进行打分评审，对不符合要求的材料交专家</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评审</w:t>
      </w:r>
      <w:r>
        <w:rPr>
          <w:rFonts w:hint="eastAsia" w:ascii="Times New Roman" w:hAnsi="Times New Roman" w:eastAsia="仿宋_GB2312" w:cs="仿宋_GB2312"/>
          <w:color w:val="000000" w:themeColor="text1"/>
          <w:kern w:val="0"/>
          <w:sz w:val="32"/>
          <w:szCs w:val="32"/>
          <w14:textFill>
            <w14:solidFill>
              <w14:schemeClr w14:val="tx1"/>
            </w14:solidFill>
          </w14:textFill>
        </w:rPr>
        <w:t>会评议后，取消其评审资格。</w:t>
      </w:r>
    </w:p>
    <w:p w14:paraId="3339298E">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楷体_GB2312" w:cs="楷体"/>
          <w:color w:val="000000" w:themeColor="text1"/>
          <w:kern w:val="0"/>
          <w:sz w:val="32"/>
          <w:szCs w:val="32"/>
          <w14:textFill>
            <w14:solidFill>
              <w14:schemeClr w14:val="tx1"/>
            </w14:solidFill>
          </w14:textFill>
        </w:rPr>
      </w:pPr>
      <w:r>
        <w:rPr>
          <w:rFonts w:hint="eastAsia" w:ascii="Times New Roman" w:hAnsi="Times New Roman" w:eastAsia="楷体_GB2312" w:cs="楷体"/>
          <w:color w:val="000000" w:themeColor="text1"/>
          <w:kern w:val="0"/>
          <w:sz w:val="32"/>
          <w:szCs w:val="32"/>
          <w14:textFill>
            <w14:solidFill>
              <w14:schemeClr w14:val="tx1"/>
            </w14:solidFill>
          </w14:textFill>
        </w:rPr>
        <w:t>（二）专家评审</w:t>
      </w:r>
    </w:p>
    <w:p w14:paraId="61F3C80F">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根据《省科协项目评审监督实施办法（试行）》要求，在省科协机关纪委监督下，从省科协科普专家库中随机抽取评审专家</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根据申报材料进行打分评比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AF1041D">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楷体"/>
          <w:color w:val="000000" w:themeColor="text1"/>
          <w:kern w:val="0"/>
          <w:sz w:val="32"/>
          <w:szCs w:val="32"/>
          <w:lang w:val="en-US" w:eastAsia="zh-CN"/>
          <w14:textFill>
            <w14:solidFill>
              <w14:schemeClr w14:val="tx1"/>
            </w14:solidFill>
          </w14:textFill>
        </w:rPr>
      </w:pPr>
      <w:r>
        <w:rPr>
          <w:rFonts w:hint="eastAsia" w:ascii="Times New Roman" w:hAnsi="Times New Roman" w:eastAsia="楷体_GB2312" w:cs="楷体"/>
          <w:color w:val="000000" w:themeColor="text1"/>
          <w:kern w:val="0"/>
          <w:sz w:val="32"/>
          <w:szCs w:val="32"/>
          <w:lang w:eastAsia="zh-CN"/>
          <w14:textFill>
            <w14:solidFill>
              <w14:schemeClr w14:val="tx1"/>
            </w14:solidFill>
          </w14:textFill>
        </w:rPr>
        <w:t>（</w:t>
      </w:r>
      <w:r>
        <w:rPr>
          <w:rFonts w:hint="eastAsia" w:ascii="Times New Roman" w:hAnsi="Times New Roman" w:eastAsia="楷体_GB2312" w:cs="楷体"/>
          <w:color w:val="000000" w:themeColor="text1"/>
          <w:kern w:val="0"/>
          <w:sz w:val="32"/>
          <w:szCs w:val="32"/>
          <w:lang w:val="en-US" w:eastAsia="zh-CN"/>
          <w14:textFill>
            <w14:solidFill>
              <w14:schemeClr w14:val="tx1"/>
            </w14:solidFill>
          </w14:textFill>
        </w:rPr>
        <w:t>三</w:t>
      </w:r>
      <w:r>
        <w:rPr>
          <w:rFonts w:hint="eastAsia" w:ascii="Times New Roman" w:hAnsi="Times New Roman" w:eastAsia="楷体_GB2312" w:cs="楷体"/>
          <w:color w:val="000000" w:themeColor="text1"/>
          <w:kern w:val="0"/>
          <w:sz w:val="32"/>
          <w:szCs w:val="32"/>
          <w:lang w:eastAsia="zh-CN"/>
          <w14:textFill>
            <w14:solidFill>
              <w14:schemeClr w14:val="tx1"/>
            </w14:solidFill>
          </w14:textFill>
        </w:rPr>
        <w:t>）</w:t>
      </w:r>
      <w:r>
        <w:rPr>
          <w:rFonts w:hint="eastAsia" w:ascii="Times New Roman" w:hAnsi="Times New Roman" w:eastAsia="楷体_GB2312" w:cs="楷体"/>
          <w:color w:val="000000" w:themeColor="text1"/>
          <w:kern w:val="0"/>
          <w:sz w:val="32"/>
          <w:szCs w:val="32"/>
          <w14:textFill>
            <w14:solidFill>
              <w14:schemeClr w14:val="tx1"/>
            </w14:solidFill>
          </w14:textFill>
        </w:rPr>
        <w:t>评审结果</w:t>
      </w:r>
      <w:r>
        <w:rPr>
          <w:rFonts w:hint="eastAsia" w:ascii="Times New Roman" w:hAnsi="Times New Roman" w:eastAsia="楷体_GB2312" w:cs="楷体"/>
          <w:color w:val="000000" w:themeColor="text1"/>
          <w:kern w:val="0"/>
          <w:sz w:val="32"/>
          <w:szCs w:val="32"/>
          <w:lang w:val="en-US" w:eastAsia="zh-CN"/>
          <w14:textFill>
            <w14:solidFill>
              <w14:schemeClr w14:val="tx1"/>
            </w14:solidFill>
          </w14:textFill>
        </w:rPr>
        <w:t>公示</w:t>
      </w:r>
    </w:p>
    <w:p w14:paraId="256D1C4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评审结果按有关要求进行公示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公示无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异议</w:t>
      </w:r>
      <w:r>
        <w:rPr>
          <w:rFonts w:hint="eastAsia" w:ascii="Times New Roman" w:hAnsi="Times New Roman" w:eastAsia="仿宋_GB2312" w:cs="仿宋_GB2312"/>
          <w:color w:val="000000" w:themeColor="text1"/>
          <w:kern w:val="0"/>
          <w:sz w:val="32"/>
          <w:szCs w:val="32"/>
          <w14:textFill>
            <w14:solidFill>
              <w14:schemeClr w14:val="tx1"/>
            </w14:solidFill>
          </w14:textFill>
        </w:rPr>
        <w:t>后发布立项名单。</w:t>
      </w:r>
    </w:p>
    <w:p w14:paraId="45E7D07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lang w:eastAsia="zh-CN"/>
          <w14:textFill>
            <w14:solidFill>
              <w14:schemeClr w14:val="tx1"/>
            </w14:solidFill>
          </w14:textFill>
        </w:rPr>
        <w:t>三</w:t>
      </w:r>
      <w:r>
        <w:rPr>
          <w:rFonts w:hint="eastAsia" w:ascii="Times New Roman" w:hAnsi="Times New Roman" w:eastAsia="黑体" w:cs="黑体"/>
          <w:color w:val="000000" w:themeColor="text1"/>
          <w:kern w:val="0"/>
          <w:sz w:val="32"/>
          <w:szCs w:val="32"/>
          <w14:textFill>
            <w14:solidFill>
              <w14:schemeClr w14:val="tx1"/>
            </w14:solidFill>
          </w14:textFill>
        </w:rPr>
        <w:t>、评审办法</w:t>
      </w:r>
    </w:p>
    <w:p w14:paraId="1A63C509">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根据</w:t>
      </w:r>
      <w:r>
        <w:rPr>
          <w:rFonts w:hint="eastAsia" w:ascii="Times New Roman" w:hAnsi="Times New Roman" w:eastAsia="仿宋_GB2312"/>
          <w:color w:val="000000" w:themeColor="text1"/>
          <w:kern w:val="0"/>
          <w:sz w:val="32"/>
          <w:szCs w:val="32"/>
          <w14:textFill>
            <w14:solidFill>
              <w14:schemeClr w14:val="tx1"/>
            </w14:solidFill>
          </w14:textFill>
        </w:rPr>
        <w:t>《中国流动科技馆项目考核管理暂行办法》的</w:t>
      </w:r>
      <w:r>
        <w:rPr>
          <w:rFonts w:hint="eastAsia" w:ascii="Times New Roman" w:hAnsi="Times New Roman" w:eastAsia="仿宋_GB2312" w:cs="仿宋_GB2312"/>
          <w:color w:val="000000" w:themeColor="text1"/>
          <w:kern w:val="0"/>
          <w:sz w:val="32"/>
          <w:szCs w:val="32"/>
          <w14:textFill>
            <w14:solidFill>
              <w14:schemeClr w14:val="tx1"/>
            </w14:solidFill>
          </w14:textFill>
        </w:rPr>
        <w:t>要求，评分主要从基础保障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组织实施、运行效果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等三</w:t>
      </w:r>
      <w:r>
        <w:rPr>
          <w:rFonts w:hint="eastAsia" w:ascii="Times New Roman" w:hAnsi="Times New Roman" w:eastAsia="仿宋_GB2312" w:cs="仿宋_GB2312"/>
          <w:color w:val="000000" w:themeColor="text1"/>
          <w:kern w:val="0"/>
          <w:sz w:val="32"/>
          <w:szCs w:val="32"/>
          <w14:textFill>
            <w14:solidFill>
              <w14:schemeClr w14:val="tx1"/>
            </w14:solidFill>
          </w14:textFill>
        </w:rPr>
        <w:t>个方面进行评审</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具体标准详见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附件评分细则</w:t>
      </w:r>
    </w:p>
    <w:p w14:paraId="2EB693A0">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lang w:val="en-US" w:eastAsia="zh-CN"/>
          <w14:textFill>
            <w14:solidFill>
              <w14:schemeClr w14:val="tx1"/>
            </w14:solidFill>
          </w14:textFill>
        </w:rPr>
        <w:t>四</w:t>
      </w:r>
      <w:r>
        <w:rPr>
          <w:rFonts w:hint="eastAsia" w:ascii="Times New Roman" w:hAnsi="Times New Roman" w:eastAsia="黑体" w:cs="黑体"/>
          <w:color w:val="000000" w:themeColor="text1"/>
          <w:kern w:val="0"/>
          <w:sz w:val="32"/>
          <w:szCs w:val="32"/>
          <w14:textFill>
            <w14:solidFill>
              <w14:schemeClr w14:val="tx1"/>
            </w14:solidFill>
          </w14:textFill>
        </w:rPr>
        <w:t>、资金安排</w:t>
      </w:r>
    </w:p>
    <w:p w14:paraId="71D5DEE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评审结果分优秀、良好、合格三个等次。优秀等次4名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良好等次</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合格等次</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名。优秀等次站点补助</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良好等次站点补助</w:t>
      </w:r>
      <w:r>
        <w:rPr>
          <w:rFonts w:hint="default" w:ascii="Times New Roman" w:hAnsi="Times New Roman" w:eastAsia="仿宋_GB2312" w:cs="仿宋_GB2312"/>
          <w:color w:val="000000" w:themeColor="text1"/>
          <w:kern w:val="0"/>
          <w:sz w:val="32"/>
          <w:szCs w:val="32"/>
          <w:lang w:val="e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合格等次站点补助</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万元。共计资金76万元。</w:t>
      </w:r>
    </w:p>
    <w:p w14:paraId="20C47289">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lang w:val="en-US" w:eastAsia="zh-CN"/>
          <w14:textFill>
            <w14:solidFill>
              <w14:schemeClr w14:val="tx1"/>
            </w14:solidFill>
          </w14:textFill>
        </w:rPr>
        <w:t>五</w:t>
      </w:r>
      <w:r>
        <w:rPr>
          <w:rFonts w:hint="eastAsia" w:ascii="Times New Roman" w:hAnsi="Times New Roman" w:eastAsia="黑体" w:cs="黑体"/>
          <w:color w:val="000000" w:themeColor="text1"/>
          <w:kern w:val="0"/>
          <w:sz w:val="32"/>
          <w:szCs w:val="32"/>
          <w14:textFill>
            <w14:solidFill>
              <w14:schemeClr w14:val="tx1"/>
            </w14:solidFill>
          </w14:textFill>
        </w:rPr>
        <w:t>、联系方式</w:t>
      </w:r>
    </w:p>
    <w:p w14:paraId="26603062">
      <w:pPr>
        <w:keepNext w:val="0"/>
        <w:keepLines w:val="0"/>
        <w:pageBreakBefore w:val="0"/>
        <w:widowControl w:val="0"/>
        <w:kinsoku/>
        <w:wordWrap w:val="0"/>
        <w:overflowPunct/>
        <w:topLinePunct w:val="0"/>
        <w:autoSpaceDE/>
        <w:autoSpaceDN/>
        <w:bidi w:val="0"/>
        <w:adjustRightInd/>
        <w:spacing w:line="560" w:lineRule="exact"/>
        <w:ind w:left="1918" w:leftChars="304" w:hanging="1280" w:hangingChars="4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联</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kern w:val="0"/>
          <w:sz w:val="32"/>
          <w:szCs w:val="32"/>
          <w14:textFill>
            <w14:solidFill>
              <w14:schemeClr w14:val="tx1"/>
            </w14:solidFill>
          </w14:textFill>
        </w:rPr>
        <w:t>系</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kern w:val="0"/>
          <w:sz w:val="32"/>
          <w:szCs w:val="32"/>
          <w14:textFill>
            <w14:solidFill>
              <w14:schemeClr w14:val="tx1"/>
            </w14:solidFill>
          </w14:textFill>
        </w:rPr>
        <w:t>人：肖鹏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、易金枝</w:t>
      </w:r>
    </w:p>
    <w:p w14:paraId="744FD35C">
      <w:pPr>
        <w:keepNext w:val="0"/>
        <w:keepLines w:val="0"/>
        <w:pageBreakBefore w:val="0"/>
        <w:widowControl w:val="0"/>
        <w:kinsoku/>
        <w:wordWrap w:val="0"/>
        <w:overflowPunct/>
        <w:topLinePunct w:val="0"/>
        <w:autoSpaceDE/>
        <w:autoSpaceDN/>
        <w:bidi w:val="0"/>
        <w:adjustRightInd/>
        <w:spacing w:line="560" w:lineRule="exact"/>
        <w:ind w:left="1918" w:leftChars="304" w:hanging="1280" w:hangingChars="4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联系电话：</w:t>
      </w:r>
      <w:r>
        <w:rPr>
          <w:rFonts w:hint="eastAsia" w:ascii="Times New Roman" w:hAnsi="Times New Roman" w:eastAsia="仿宋_GB2312" w:cs="仿宋_GB2312"/>
          <w:color w:val="000000" w:themeColor="text1"/>
          <w:kern w:val="0"/>
          <w:sz w:val="32"/>
          <w:szCs w:val="32"/>
          <w14:textFill>
            <w14:solidFill>
              <w14:schemeClr w14:val="tx1"/>
            </w14:solidFill>
          </w14:textFill>
        </w:rPr>
        <w:t>0731-84884352</w:t>
      </w:r>
    </w:p>
    <w:p w14:paraId="461B4176">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color w:val="000000" w:themeColor="text1"/>
          <w:kern w:val="0"/>
          <w:sz w:val="32"/>
          <w:szCs w:val="32"/>
          <w:lang w:val="en-US" w:eastAsia="zh-CN"/>
          <w14:textFill>
            <w14:solidFill>
              <w14:schemeClr w14:val="tx1"/>
            </w14:solidFill>
          </w14:textFill>
        </w:rPr>
      </w:pPr>
      <w:r>
        <w:rPr>
          <w:rFonts w:hint="eastAsia" w:ascii="Times New Roman" w:hAnsi="Times New Roman" w:eastAsia="黑体" w:cs="黑体"/>
          <w:color w:val="000000" w:themeColor="text1"/>
          <w:kern w:val="0"/>
          <w:sz w:val="32"/>
          <w:szCs w:val="32"/>
          <w:lang w:val="en-US" w:eastAsia="zh-CN" w:bidi="ar-SA"/>
          <w14:textFill>
            <w14:solidFill>
              <w14:schemeClr w14:val="tx1"/>
            </w14:solidFill>
          </w14:textFill>
        </w:rPr>
        <w:t>六、</w:t>
      </w:r>
      <w:r>
        <w:rPr>
          <w:rFonts w:hint="eastAsia" w:ascii="Times New Roman" w:hAnsi="Times New Roman" w:eastAsia="黑体" w:cs="黑体"/>
          <w:color w:val="000000" w:themeColor="text1"/>
          <w:kern w:val="0"/>
          <w:sz w:val="32"/>
          <w:szCs w:val="32"/>
          <w:lang w:val="en-US" w:eastAsia="zh-CN"/>
          <w14:textFill>
            <w14:solidFill>
              <w14:schemeClr w14:val="tx1"/>
            </w14:solidFill>
          </w14:textFill>
        </w:rPr>
        <w:t>中国流动科技馆湖南巡展项目绩效评价评分细则</w:t>
      </w:r>
    </w:p>
    <w:p w14:paraId="3ED137DD">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（详见下页）</w:t>
      </w:r>
    </w:p>
    <w:p w14:paraId="2237212E">
      <w:pPr>
        <w:rPr>
          <w:rFonts w:hint="eastAsia" w:ascii="Times New Roman" w:hAnsi="Times New Roman"/>
          <w:lang w:val="en-US" w:eastAsia="zh-CN"/>
        </w:rPr>
      </w:pPr>
      <w:r>
        <w:rPr>
          <w:rFonts w:hint="eastAsia" w:ascii="Times New Roman" w:hAnsi="Times New Roman"/>
          <w:lang w:val="en-US" w:eastAsia="zh-CN"/>
        </w:rPr>
        <w:br w:type="page"/>
      </w:r>
      <w:bookmarkStart w:id="0" w:name="_GoBack"/>
      <w:bookmarkEnd w:id="0"/>
    </w:p>
    <w:p w14:paraId="2F84FA95">
      <w:pPr>
        <w:wordWrap w:val="0"/>
        <w:jc w:val="center"/>
        <w:rPr>
          <w:rFonts w:hint="eastAsia" w:ascii="Times New Roman" w:hAnsi="Times New Roman" w:eastAsia="方正小标宋简体"/>
          <w:color w:val="000000" w:themeColor="text1"/>
          <w:w w:val="97"/>
          <w:sz w:val="36"/>
          <w:szCs w:val="36"/>
          <w14:textFill>
            <w14:solidFill>
              <w14:schemeClr w14:val="tx1"/>
            </w14:solidFill>
          </w14:textFill>
        </w:rPr>
      </w:pPr>
      <w:r>
        <w:rPr>
          <w:rFonts w:hint="eastAsia" w:ascii="Times New Roman" w:hAnsi="Times New Roman" w:eastAsia="方正小标宋简体"/>
          <w:color w:val="000000" w:themeColor="text1"/>
          <w:w w:val="97"/>
          <w:sz w:val="36"/>
          <w:szCs w:val="36"/>
          <w14:textFill>
            <w14:solidFill>
              <w14:schemeClr w14:val="tx1"/>
            </w14:solidFill>
          </w14:textFill>
        </w:rPr>
        <w:t>中国流动科技馆湖南巡展项目绩效评价评分细则</w:t>
      </w:r>
    </w:p>
    <w:p w14:paraId="2C15920C">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5645"/>
        <w:gridCol w:w="1345"/>
      </w:tblGrid>
      <w:tr w14:paraId="513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1100" w:type="dxa"/>
            <w:noWrap/>
            <w:vAlign w:val="center"/>
          </w:tcPr>
          <w:p w14:paraId="282768AF">
            <w:pPr>
              <w:wordWrap w:val="0"/>
              <w:spacing w:line="360" w:lineRule="exact"/>
              <w:jc w:val="center"/>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评价</w:t>
            </w:r>
          </w:p>
          <w:p w14:paraId="01F9D8AA">
            <w:pPr>
              <w:wordWrap w:val="0"/>
              <w:spacing w:line="360" w:lineRule="exact"/>
              <w:jc w:val="center"/>
              <w:rPr>
                <w:rFonts w:hint="eastAsia" w:ascii="Times New Roman" w:hAnsi="Times New Roman" w:eastAsia="宋体"/>
                <w:b/>
                <w:color w:val="000000" w:themeColor="text1"/>
                <w:sz w:val="24"/>
                <w:lang w:eastAsia="zh-CN"/>
                <w14:textFill>
                  <w14:solidFill>
                    <w14:schemeClr w14:val="tx1"/>
                  </w14:solidFill>
                </w14:textFill>
              </w:rPr>
            </w:pPr>
            <w:r>
              <w:rPr>
                <w:rFonts w:hint="eastAsia" w:ascii="Times New Roman" w:hAnsi="Times New Roman"/>
                <w:b/>
                <w:color w:val="000000" w:themeColor="text1"/>
                <w:sz w:val="24"/>
                <w:lang w:eastAsia="zh-CN"/>
                <w14:textFill>
                  <w14:solidFill>
                    <w14:schemeClr w14:val="tx1"/>
                  </w14:solidFill>
                </w14:textFill>
              </w:rPr>
              <w:t>指标</w:t>
            </w:r>
          </w:p>
        </w:tc>
        <w:tc>
          <w:tcPr>
            <w:tcW w:w="5645" w:type="dxa"/>
            <w:noWrap/>
            <w:vAlign w:val="center"/>
          </w:tcPr>
          <w:p w14:paraId="10BEFC4C">
            <w:pPr>
              <w:wordWrap w:val="0"/>
              <w:spacing w:line="360" w:lineRule="exact"/>
              <w:jc w:val="center"/>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评价要求</w:t>
            </w:r>
          </w:p>
        </w:tc>
        <w:tc>
          <w:tcPr>
            <w:tcW w:w="1345" w:type="dxa"/>
            <w:noWrap/>
            <w:vAlign w:val="center"/>
          </w:tcPr>
          <w:p w14:paraId="4C66C03F">
            <w:pPr>
              <w:wordWrap w:val="0"/>
              <w:spacing w:line="360" w:lineRule="exact"/>
              <w:jc w:val="center"/>
              <w:rPr>
                <w:rFonts w:hint="eastAsia" w:ascii="Times New Roman" w:hAnsi="Times New Roman" w:eastAsia="宋体"/>
                <w:b/>
                <w:color w:val="000000" w:themeColor="text1"/>
                <w:sz w:val="24"/>
                <w:lang w:eastAsia="zh-CN"/>
                <w14:textFill>
                  <w14:solidFill>
                    <w14:schemeClr w14:val="tx1"/>
                  </w14:solidFill>
                </w14:textFill>
              </w:rPr>
            </w:pPr>
            <w:r>
              <w:rPr>
                <w:rFonts w:hint="eastAsia" w:ascii="Times New Roman" w:hAnsi="Times New Roman"/>
                <w:b/>
                <w:color w:val="000000" w:themeColor="text1"/>
                <w:sz w:val="24"/>
                <w:lang w:eastAsia="zh-CN"/>
                <w14:textFill>
                  <w14:solidFill>
                    <w14:schemeClr w14:val="tx1"/>
                  </w14:solidFill>
                </w14:textFill>
              </w:rPr>
              <w:t>评价分数</w:t>
            </w:r>
          </w:p>
        </w:tc>
      </w:tr>
      <w:tr w14:paraId="4BE2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restart"/>
            <w:noWrap/>
            <w:vAlign w:val="center"/>
          </w:tcPr>
          <w:p w14:paraId="6D017E16">
            <w:pPr>
              <w:wordWrap w:val="0"/>
              <w:spacing w:line="360" w:lineRule="exact"/>
              <w:jc w:val="center"/>
              <w:rPr>
                <w:rFonts w:ascii="Times New Roman" w:hAnsi="Times New Roman"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仿宋_GB2312"/>
                <w:color w:val="000000" w:themeColor="text1"/>
                <w:sz w:val="22"/>
                <w:szCs w:val="22"/>
                <w14:textFill>
                  <w14:solidFill>
                    <w14:schemeClr w14:val="tx1"/>
                  </w14:solidFill>
                </w14:textFill>
              </w:rPr>
              <w:t>基础保障</w:t>
            </w:r>
          </w:p>
          <w:p w14:paraId="6E4C9458">
            <w:pPr>
              <w:wordWrap w:val="0"/>
              <w:spacing w:line="360" w:lineRule="exact"/>
              <w:jc w:val="center"/>
              <w:rPr>
                <w:rFonts w:hint="eastAsia" w:ascii="Times New Roman" w:hAnsi="Times New Roman" w:eastAsia="仿宋_GB2312" w:cs="仿宋_GB2312"/>
                <w:color w:val="000000" w:themeColor="text1"/>
                <w:sz w:val="22"/>
                <w:szCs w:val="22"/>
                <w:lang w:eastAsia="zh-CN"/>
                <w14:textFill>
                  <w14:solidFill>
                    <w14:schemeClr w14:val="tx1"/>
                  </w14:solidFill>
                </w14:textFill>
              </w:rPr>
            </w:pP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30分</w:t>
            </w: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p>
        </w:tc>
        <w:tc>
          <w:tcPr>
            <w:tcW w:w="5645" w:type="dxa"/>
            <w:noWrap/>
            <w:vAlign w:val="center"/>
          </w:tcPr>
          <w:p w14:paraId="1A058F51">
            <w:pPr>
              <w:numPr>
                <w:ilvl w:val="0"/>
                <w:numId w:val="1"/>
              </w:numPr>
              <w:wordWrap w:val="0"/>
              <w:spacing w:line="360" w:lineRule="exact"/>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每个巡展站点招募不少于2名科技志愿者，定期组织志愿者培训，开展展品维护、辅导讲解等服务，志愿者累计服务时长不少于60天。</w:t>
            </w:r>
          </w:p>
        </w:tc>
        <w:tc>
          <w:tcPr>
            <w:tcW w:w="1345" w:type="dxa"/>
            <w:noWrap/>
            <w:vAlign w:val="center"/>
          </w:tcPr>
          <w:p w14:paraId="5DD18296">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10分</w:t>
            </w:r>
          </w:p>
        </w:tc>
      </w:tr>
      <w:tr w14:paraId="0575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continue"/>
            <w:noWrap/>
            <w:vAlign w:val="center"/>
          </w:tcPr>
          <w:p w14:paraId="3F047561">
            <w:pPr>
              <w:wordWrap w:val="0"/>
              <w:spacing w:line="360" w:lineRule="exact"/>
              <w:rPr>
                <w:rFonts w:ascii="Times New Roman" w:hAnsi="Times New Roman"/>
              </w:rPr>
            </w:pPr>
          </w:p>
        </w:tc>
        <w:tc>
          <w:tcPr>
            <w:tcW w:w="5645" w:type="dxa"/>
            <w:noWrap/>
            <w:vAlign w:val="center"/>
          </w:tcPr>
          <w:p w14:paraId="53AD95B2">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本级财政多渠道筹措并配套项目运行经费，保障项目顺利实施，平均每站项目运行经费不少于5万元。</w:t>
            </w:r>
          </w:p>
        </w:tc>
        <w:tc>
          <w:tcPr>
            <w:tcW w:w="1345" w:type="dxa"/>
            <w:noWrap/>
            <w:vAlign w:val="center"/>
          </w:tcPr>
          <w:p w14:paraId="6E687C3F">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20分</w:t>
            </w:r>
          </w:p>
        </w:tc>
      </w:tr>
      <w:tr w14:paraId="0B33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restart"/>
            <w:noWrap/>
            <w:vAlign w:val="center"/>
          </w:tcPr>
          <w:p w14:paraId="38638172">
            <w:pPr>
              <w:wordWrap w:val="0"/>
              <w:spacing w:line="360" w:lineRule="exact"/>
              <w:jc w:val="center"/>
              <w:rPr>
                <w:rFonts w:ascii="Times New Roman" w:hAnsi="Times New Roman"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仿宋_GB2312"/>
                <w:color w:val="000000" w:themeColor="text1"/>
                <w:sz w:val="22"/>
                <w:szCs w:val="22"/>
                <w14:textFill>
                  <w14:solidFill>
                    <w14:schemeClr w14:val="tx1"/>
                  </w14:solidFill>
                </w14:textFill>
              </w:rPr>
              <w:t>组织实施</w:t>
            </w:r>
          </w:p>
          <w:p w14:paraId="70333009">
            <w:pPr>
              <w:wordWrap w:val="0"/>
              <w:spacing w:line="360" w:lineRule="exact"/>
              <w:jc w:val="center"/>
              <w:rPr>
                <w:rFonts w:hint="eastAsia" w:ascii="Times New Roman" w:hAnsi="Times New Roman" w:eastAsia="仿宋_GB2312" w:cs="仿宋_GB2312"/>
                <w:color w:val="000000" w:themeColor="text1"/>
                <w:sz w:val="22"/>
                <w:szCs w:val="22"/>
                <w:lang w:eastAsia="zh-CN"/>
                <w14:textFill>
                  <w14:solidFill>
                    <w14:schemeClr w14:val="tx1"/>
                  </w14:solidFill>
                </w14:textFill>
              </w:rPr>
            </w:pP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35分</w:t>
            </w: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p>
        </w:tc>
        <w:tc>
          <w:tcPr>
            <w:tcW w:w="5645" w:type="dxa"/>
            <w:noWrap/>
            <w:vAlign w:val="center"/>
          </w:tcPr>
          <w:p w14:paraId="198A4C6E">
            <w:pPr>
              <w:numPr>
                <w:ilvl w:val="0"/>
                <w:numId w:val="1"/>
              </w:numPr>
              <w:wordWrap w:val="0"/>
              <w:spacing w:line="360" w:lineRule="exact"/>
              <w:ind w:left="0" w:leftChars="0" w:firstLine="0" w:firstLineChars="0"/>
              <w:rPr>
                <w:rFonts w:ascii="Times New Roman" w:hAnsi="Times New Roman"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常规巡展时间</w:t>
            </w:r>
            <w:r>
              <w:rPr>
                <w:rFonts w:hint="eastAsia" w:ascii="Times New Roman" w:hAnsi="Times New Roman" w:eastAsia="仿宋_GB2312" w:cs="仿宋_GB2312"/>
                <w:color w:val="000000" w:themeColor="text1"/>
                <w:kern w:val="0"/>
                <w:sz w:val="22"/>
                <w:szCs w:val="22"/>
                <w14:textFill>
                  <w14:solidFill>
                    <w14:schemeClr w14:val="tx1"/>
                  </w14:solidFill>
                </w14:textFill>
              </w:rPr>
              <w:t>每站展出不少于2个月</w:t>
            </w:r>
            <w:r>
              <w:rPr>
                <w:rFonts w:hint="eastAsia" w:ascii="Times New Roman" w:hAnsi="Times New Roman" w:eastAsia="仿宋_GB2312" w:cs="仿宋_GB2312"/>
                <w:color w:val="000000" w:themeColor="text1"/>
                <w:kern w:val="0"/>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区域换展</w:t>
            </w: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巡展时间</w:t>
            </w:r>
            <w:r>
              <w:rPr>
                <w:rFonts w:hint="eastAsia" w:ascii="Times New Roman" w:hAnsi="Times New Roman" w:eastAsia="仿宋_GB2312" w:cs="仿宋_GB2312"/>
                <w:color w:val="000000" w:themeColor="text1"/>
                <w:sz w:val="22"/>
                <w:szCs w:val="22"/>
                <w14:textFill>
                  <w14:solidFill>
                    <w14:schemeClr w14:val="tx1"/>
                  </w14:solidFill>
                </w14:textFill>
              </w:rPr>
              <w:t>每站展出不少于</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4</w:t>
            </w:r>
            <w:r>
              <w:rPr>
                <w:rFonts w:hint="eastAsia" w:ascii="Times New Roman" w:hAnsi="Times New Roman" w:eastAsia="仿宋_GB2312" w:cs="仿宋_GB2312"/>
                <w:color w:val="000000" w:themeColor="text1"/>
                <w:sz w:val="22"/>
                <w:szCs w:val="22"/>
                <w14:textFill>
                  <w14:solidFill>
                    <w14:schemeClr w14:val="tx1"/>
                  </w14:solidFill>
                </w14:textFill>
              </w:rPr>
              <w:t>个月</w:t>
            </w: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p>
        </w:tc>
        <w:tc>
          <w:tcPr>
            <w:tcW w:w="1345" w:type="dxa"/>
            <w:noWrap/>
            <w:vAlign w:val="center"/>
          </w:tcPr>
          <w:p w14:paraId="32DA6168">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5分</w:t>
            </w:r>
          </w:p>
        </w:tc>
      </w:tr>
      <w:tr w14:paraId="7CDB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continue"/>
            <w:noWrap/>
            <w:vAlign w:val="center"/>
          </w:tcPr>
          <w:p w14:paraId="714BE365">
            <w:pPr>
              <w:wordWrap w:val="0"/>
              <w:spacing w:line="360" w:lineRule="exact"/>
              <w:rPr>
                <w:rFonts w:ascii="Times New Roman" w:hAnsi="Times New Roman"/>
              </w:rPr>
            </w:pPr>
          </w:p>
        </w:tc>
        <w:tc>
          <w:tcPr>
            <w:tcW w:w="5645" w:type="dxa"/>
            <w:noWrap/>
            <w:vAlign w:val="center"/>
          </w:tcPr>
          <w:p w14:paraId="062C18EC">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常规巡展</w:t>
            </w:r>
            <w:r>
              <w:rPr>
                <w:rFonts w:hint="eastAsia" w:ascii="Times New Roman" w:hAnsi="Times New Roman" w:eastAsia="仿宋_GB2312" w:cs="仿宋_GB2312"/>
                <w:color w:val="000000" w:themeColor="text1"/>
                <w:sz w:val="22"/>
                <w:szCs w:val="22"/>
                <w14:textFill>
                  <w14:solidFill>
                    <w14:schemeClr w14:val="tx1"/>
                  </w14:solidFill>
                </w14:textFill>
              </w:rPr>
              <w:t>服务公众</w:t>
            </w:r>
            <w:r>
              <w:rPr>
                <w:rFonts w:hint="eastAsia" w:ascii="Times New Roman" w:hAnsi="Times New Roman" w:eastAsia="仿宋_GB2312" w:cs="仿宋_GB2312"/>
                <w:color w:val="000000" w:themeColor="text1"/>
                <w:kern w:val="0"/>
                <w:sz w:val="22"/>
                <w:szCs w:val="22"/>
                <w14:textFill>
                  <w14:solidFill>
                    <w14:schemeClr w14:val="tx1"/>
                  </w14:solidFill>
                </w14:textFill>
              </w:rPr>
              <w:t>不少于3万人次。</w:t>
            </w: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区域</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换展服务公众不少于5万人次。</w:t>
            </w:r>
          </w:p>
        </w:tc>
        <w:tc>
          <w:tcPr>
            <w:tcW w:w="1345" w:type="dxa"/>
            <w:noWrap/>
            <w:vAlign w:val="center"/>
          </w:tcPr>
          <w:p w14:paraId="61710EB7">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10分</w:t>
            </w:r>
          </w:p>
        </w:tc>
      </w:tr>
      <w:tr w14:paraId="0DA5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continue"/>
            <w:noWrap/>
            <w:vAlign w:val="center"/>
          </w:tcPr>
          <w:p w14:paraId="4F730114">
            <w:pPr>
              <w:wordWrap w:val="0"/>
              <w:spacing w:line="360" w:lineRule="exact"/>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p>
        </w:tc>
        <w:tc>
          <w:tcPr>
            <w:tcW w:w="5645" w:type="dxa"/>
            <w:noWrap/>
            <w:vAlign w:val="center"/>
          </w:tcPr>
          <w:p w14:paraId="5627A8AA">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结合展览每天开展常规展教辅导活动、科学实验表演活动、线上科普教育活动等，活动形式多样有趣，内容丰富新颖，效果突出，公众反响热烈。</w:t>
            </w:r>
          </w:p>
        </w:tc>
        <w:tc>
          <w:tcPr>
            <w:tcW w:w="1345" w:type="dxa"/>
            <w:noWrap/>
            <w:vAlign w:val="center"/>
          </w:tcPr>
          <w:p w14:paraId="50A65328">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5分</w:t>
            </w:r>
          </w:p>
        </w:tc>
      </w:tr>
      <w:tr w14:paraId="5322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00" w:type="dxa"/>
            <w:vMerge w:val="continue"/>
            <w:noWrap/>
            <w:vAlign w:val="center"/>
          </w:tcPr>
          <w:p w14:paraId="44D2F851">
            <w:pPr>
              <w:wordWrap w:val="0"/>
              <w:spacing w:line="360" w:lineRule="exact"/>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p>
        </w:tc>
        <w:tc>
          <w:tcPr>
            <w:tcW w:w="5645" w:type="dxa"/>
            <w:noWrap/>
            <w:vAlign w:val="center"/>
          </w:tcPr>
          <w:p w14:paraId="0E50CB70">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积极联络地方教育部门、中小学校，探索建立馆校合作长效机制，充分利用流动科普资源优势面向学校开展服务，以资源进校和学生进馆的“双进”方式，助力推进“双减”工作。应为当地90%的中小学提供科学教育服务。</w:t>
            </w:r>
          </w:p>
        </w:tc>
        <w:tc>
          <w:tcPr>
            <w:tcW w:w="1345" w:type="dxa"/>
            <w:noWrap/>
            <w:vAlign w:val="center"/>
          </w:tcPr>
          <w:p w14:paraId="34EAABBD">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5分</w:t>
            </w:r>
          </w:p>
        </w:tc>
      </w:tr>
      <w:tr w14:paraId="1856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continue"/>
            <w:noWrap/>
            <w:vAlign w:val="center"/>
          </w:tcPr>
          <w:p w14:paraId="28F1D398">
            <w:pPr>
              <w:wordWrap w:val="0"/>
              <w:spacing w:line="360" w:lineRule="exact"/>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p>
        </w:tc>
        <w:tc>
          <w:tcPr>
            <w:tcW w:w="5645" w:type="dxa"/>
            <w:noWrap/>
            <w:vAlign w:val="center"/>
          </w:tcPr>
          <w:p w14:paraId="4DA2C0A6">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各站点应制定详细的巡展计划，注重经验总结，提交本站点流动馆项目总结汇编材料（含视频材料），</w:t>
            </w:r>
            <w:r>
              <w:rPr>
                <w:rFonts w:hint="eastAsia" w:ascii="Times New Roman" w:hAnsi="Times New Roman" w:eastAsia="仿宋_GB2312" w:cs="仿宋_GB2312"/>
                <w:color w:val="000000" w:themeColor="text1"/>
                <w:sz w:val="22"/>
                <w:szCs w:val="22"/>
                <w14:textFill>
                  <w14:solidFill>
                    <w14:schemeClr w14:val="tx1"/>
                  </w14:solidFill>
                </w14:textFill>
              </w:rPr>
              <w:t>各站点巡展期间活动无安全事故。</w:t>
            </w:r>
          </w:p>
        </w:tc>
        <w:tc>
          <w:tcPr>
            <w:tcW w:w="1345" w:type="dxa"/>
            <w:noWrap/>
            <w:vAlign w:val="center"/>
          </w:tcPr>
          <w:p w14:paraId="55220337">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10分</w:t>
            </w:r>
          </w:p>
        </w:tc>
      </w:tr>
      <w:tr w14:paraId="1F4E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restart"/>
            <w:noWrap/>
            <w:vAlign w:val="center"/>
          </w:tcPr>
          <w:p w14:paraId="4517C384">
            <w:pPr>
              <w:wordWrap w:val="0"/>
              <w:spacing w:line="360" w:lineRule="exact"/>
              <w:jc w:val="center"/>
              <w:rPr>
                <w:rFonts w:hint="eastAsia" w:ascii="Times New Roman" w:hAnsi="Times New Roman" w:eastAsia="仿宋_GB2312"/>
                <w:lang w:eastAsia="zh-CN"/>
              </w:rPr>
            </w:pPr>
            <w:r>
              <w:rPr>
                <w:rFonts w:hint="eastAsia" w:ascii="Times New Roman" w:hAnsi="Times New Roman"/>
              </w:rPr>
              <w:t>运行效果</w:t>
            </w:r>
            <w:r>
              <w:rPr>
                <w:rFonts w:hint="eastAsia" w:ascii="Times New Roman" w:hAnsi="Times New Roman" w:eastAsia="仿宋_GB2312" w:cs="仿宋_GB2312"/>
                <w:color w:val="000000" w:themeColor="text1"/>
                <w:kern w:val="2"/>
                <w:sz w:val="22"/>
                <w:szCs w:val="22"/>
                <w:lang w:val="en-US" w:eastAsia="zh-CN" w:bidi="ar-SA"/>
                <w14:textFill>
                  <w14:solidFill>
                    <w14:schemeClr w14:val="tx1"/>
                  </w14:solidFill>
                </w14:textFill>
              </w:rPr>
              <w:t>（35分）</w:t>
            </w:r>
          </w:p>
        </w:tc>
        <w:tc>
          <w:tcPr>
            <w:tcW w:w="5645" w:type="dxa"/>
            <w:noWrap/>
            <w:vAlign w:val="center"/>
          </w:tcPr>
          <w:p w14:paraId="77398E93">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各巡展站点公众满意度调查有效调查问卷不少于100份，公众满意度不低于90%。</w:t>
            </w:r>
          </w:p>
        </w:tc>
        <w:tc>
          <w:tcPr>
            <w:tcW w:w="1345" w:type="dxa"/>
            <w:noWrap/>
            <w:vAlign w:val="center"/>
          </w:tcPr>
          <w:p w14:paraId="635B2ED4">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5分</w:t>
            </w:r>
          </w:p>
        </w:tc>
      </w:tr>
      <w:tr w14:paraId="5B49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continue"/>
            <w:noWrap/>
            <w:vAlign w:val="center"/>
          </w:tcPr>
          <w:p w14:paraId="245E8788">
            <w:pPr>
              <w:wordWrap w:val="0"/>
              <w:spacing w:line="360" w:lineRule="exact"/>
              <w:rPr>
                <w:rFonts w:ascii="Times New Roman" w:hAnsi="Times New Roman"/>
              </w:rPr>
            </w:pPr>
          </w:p>
        </w:tc>
        <w:tc>
          <w:tcPr>
            <w:tcW w:w="5645" w:type="dxa"/>
            <w:noWrap/>
            <w:vAlign w:val="center"/>
          </w:tcPr>
          <w:p w14:paraId="08258520">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积极邀请领导出席流动科技馆相关活动，邀请各级官方媒体或主流媒体平台对流动科技馆相关工作开展宣传报道。</w:t>
            </w:r>
          </w:p>
        </w:tc>
        <w:tc>
          <w:tcPr>
            <w:tcW w:w="1345" w:type="dxa"/>
            <w:noWrap/>
            <w:vAlign w:val="center"/>
          </w:tcPr>
          <w:p w14:paraId="3BA22C4E">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20分</w:t>
            </w:r>
          </w:p>
        </w:tc>
      </w:tr>
      <w:tr w14:paraId="5CDB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continue"/>
            <w:noWrap/>
            <w:vAlign w:val="center"/>
          </w:tcPr>
          <w:p w14:paraId="36F6FA7E">
            <w:pPr>
              <w:wordWrap w:val="0"/>
              <w:spacing w:line="360" w:lineRule="exact"/>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p>
        </w:tc>
        <w:tc>
          <w:tcPr>
            <w:tcW w:w="5645" w:type="dxa"/>
            <w:noWrap/>
            <w:vAlign w:val="center"/>
          </w:tcPr>
          <w:p w14:paraId="589C055C">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积极探索引入社会资源开展活动</w:t>
            </w:r>
            <w:r>
              <w:rPr>
                <w:rFonts w:hint="eastAsia" w:ascii="Times New Roman" w:hAnsi="Times New Roman" w:eastAsia="仿宋_GB2312" w:cs="仿宋_GB2312"/>
                <w:color w:val="000000" w:themeColor="text1"/>
                <w:kern w:val="0"/>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kern w:val="0"/>
                <w:sz w:val="22"/>
                <w:szCs w:val="22"/>
                <w14:textFill>
                  <w14:solidFill>
                    <w14:schemeClr w14:val="tx1"/>
                  </w14:solidFill>
                </w14:textFill>
              </w:rPr>
              <w:t>利用中国流动科技馆项目承担各项重大任务</w:t>
            </w:r>
            <w:r>
              <w:rPr>
                <w:rFonts w:hint="eastAsia" w:ascii="Times New Roman" w:hAnsi="Times New Roman" w:eastAsia="仿宋_GB2312" w:cs="仿宋_GB2312"/>
                <w:color w:val="000000" w:themeColor="text1"/>
                <w:kern w:val="0"/>
                <w:sz w:val="22"/>
                <w:szCs w:val="22"/>
                <w:lang w:eastAsia="zh-CN"/>
                <w14:textFill>
                  <w14:solidFill>
                    <w14:schemeClr w14:val="tx1"/>
                  </w14:solidFill>
                </w14:textFill>
              </w:rPr>
              <w:t>。</w:t>
            </w:r>
          </w:p>
        </w:tc>
        <w:tc>
          <w:tcPr>
            <w:tcW w:w="1345" w:type="dxa"/>
            <w:noWrap/>
            <w:vAlign w:val="center"/>
          </w:tcPr>
          <w:p w14:paraId="321C2B90">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10分</w:t>
            </w:r>
          </w:p>
        </w:tc>
      </w:tr>
    </w:tbl>
    <w:p w14:paraId="145F31EE">
      <w:pPr>
        <w:rPr>
          <w:rFonts w:hint="default" w:ascii="Times New Roman" w:hAnsi="Times New Roman"/>
          <w:lang w:val="en-US" w:eastAsia="zh-CN"/>
        </w:rPr>
      </w:pPr>
    </w:p>
    <w:sectPr>
      <w:footerReference r:id="rId3" w:type="default"/>
      <w:pgSz w:w="11906" w:h="16838"/>
      <w:pgMar w:top="1701" w:right="1474" w:bottom="158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Nimbus Roman No9 L">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PingFang-SC-Regular">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27CD">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3FB39"/>
    <w:multiLevelType w:val="singleLevel"/>
    <w:tmpl w:val="6A33FB3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0417"/>
    <w:rsid w:val="00C6664C"/>
    <w:rsid w:val="01E01D0E"/>
    <w:rsid w:val="0370464D"/>
    <w:rsid w:val="042913CB"/>
    <w:rsid w:val="065A0DDD"/>
    <w:rsid w:val="065A2CEC"/>
    <w:rsid w:val="06C90210"/>
    <w:rsid w:val="07A32650"/>
    <w:rsid w:val="08A94889"/>
    <w:rsid w:val="09002C0C"/>
    <w:rsid w:val="09B51766"/>
    <w:rsid w:val="0A36214C"/>
    <w:rsid w:val="0A3D4A15"/>
    <w:rsid w:val="0A674B0B"/>
    <w:rsid w:val="0D136775"/>
    <w:rsid w:val="0DC52D99"/>
    <w:rsid w:val="0E251F45"/>
    <w:rsid w:val="0E7D3E28"/>
    <w:rsid w:val="0EFD148A"/>
    <w:rsid w:val="10797237"/>
    <w:rsid w:val="11710023"/>
    <w:rsid w:val="11B62513"/>
    <w:rsid w:val="12A247BD"/>
    <w:rsid w:val="13FD2E6B"/>
    <w:rsid w:val="146B158C"/>
    <w:rsid w:val="14A16D5C"/>
    <w:rsid w:val="15802EAC"/>
    <w:rsid w:val="158A63F2"/>
    <w:rsid w:val="16677B31"/>
    <w:rsid w:val="1AE004ED"/>
    <w:rsid w:val="1B373383"/>
    <w:rsid w:val="1C990E53"/>
    <w:rsid w:val="1CEF7F37"/>
    <w:rsid w:val="1DC43B10"/>
    <w:rsid w:val="1DEF0417"/>
    <w:rsid w:val="1E676920"/>
    <w:rsid w:val="1E933718"/>
    <w:rsid w:val="201C3760"/>
    <w:rsid w:val="209A23EA"/>
    <w:rsid w:val="211230DD"/>
    <w:rsid w:val="217A696B"/>
    <w:rsid w:val="2254540E"/>
    <w:rsid w:val="23750C4E"/>
    <w:rsid w:val="24227571"/>
    <w:rsid w:val="24387A79"/>
    <w:rsid w:val="266F6CBA"/>
    <w:rsid w:val="26B40B71"/>
    <w:rsid w:val="272B3024"/>
    <w:rsid w:val="27930786"/>
    <w:rsid w:val="28885C31"/>
    <w:rsid w:val="28A54C15"/>
    <w:rsid w:val="28C3292C"/>
    <w:rsid w:val="29826D04"/>
    <w:rsid w:val="2A375015"/>
    <w:rsid w:val="2AC31382"/>
    <w:rsid w:val="2B2F5E25"/>
    <w:rsid w:val="2B814519"/>
    <w:rsid w:val="2CAB24CE"/>
    <w:rsid w:val="2DB256DE"/>
    <w:rsid w:val="2DC1534A"/>
    <w:rsid w:val="2E100D83"/>
    <w:rsid w:val="2E9077CD"/>
    <w:rsid w:val="303D79E0"/>
    <w:rsid w:val="305B3745"/>
    <w:rsid w:val="31D67BED"/>
    <w:rsid w:val="3309737C"/>
    <w:rsid w:val="33484B1B"/>
    <w:rsid w:val="36080591"/>
    <w:rsid w:val="3D1A3AF9"/>
    <w:rsid w:val="3DD654F0"/>
    <w:rsid w:val="3F0B4A65"/>
    <w:rsid w:val="3FC714BD"/>
    <w:rsid w:val="40C1308E"/>
    <w:rsid w:val="41032081"/>
    <w:rsid w:val="41500847"/>
    <w:rsid w:val="42ED123B"/>
    <w:rsid w:val="42F0076D"/>
    <w:rsid w:val="4322216B"/>
    <w:rsid w:val="447F5A22"/>
    <w:rsid w:val="451232E0"/>
    <w:rsid w:val="45E5444B"/>
    <w:rsid w:val="46FE40C6"/>
    <w:rsid w:val="47855EE6"/>
    <w:rsid w:val="493C25D4"/>
    <w:rsid w:val="494616A5"/>
    <w:rsid w:val="4A47683B"/>
    <w:rsid w:val="4B685902"/>
    <w:rsid w:val="4CC64F56"/>
    <w:rsid w:val="4D3A5CC6"/>
    <w:rsid w:val="4F1D75D8"/>
    <w:rsid w:val="4FEC4A28"/>
    <w:rsid w:val="50212524"/>
    <w:rsid w:val="504862C3"/>
    <w:rsid w:val="512C2F2E"/>
    <w:rsid w:val="51976F1F"/>
    <w:rsid w:val="51D6733E"/>
    <w:rsid w:val="52902C3D"/>
    <w:rsid w:val="53410C6E"/>
    <w:rsid w:val="537209A5"/>
    <w:rsid w:val="53B6492A"/>
    <w:rsid w:val="54C0055D"/>
    <w:rsid w:val="55C40EC4"/>
    <w:rsid w:val="5641747C"/>
    <w:rsid w:val="5A971D60"/>
    <w:rsid w:val="5ADA0928"/>
    <w:rsid w:val="5B184523"/>
    <w:rsid w:val="5CA02E52"/>
    <w:rsid w:val="5D607E16"/>
    <w:rsid w:val="5E546DD1"/>
    <w:rsid w:val="5F8E1258"/>
    <w:rsid w:val="61AC3645"/>
    <w:rsid w:val="61F56BD7"/>
    <w:rsid w:val="61FC694D"/>
    <w:rsid w:val="62F6339C"/>
    <w:rsid w:val="63436BC4"/>
    <w:rsid w:val="63660521"/>
    <w:rsid w:val="63A459C3"/>
    <w:rsid w:val="64343F73"/>
    <w:rsid w:val="65861A1B"/>
    <w:rsid w:val="65DA0D53"/>
    <w:rsid w:val="686A69F8"/>
    <w:rsid w:val="68DE74FF"/>
    <w:rsid w:val="6945507D"/>
    <w:rsid w:val="697659E6"/>
    <w:rsid w:val="69C63808"/>
    <w:rsid w:val="6A8120E5"/>
    <w:rsid w:val="6B2500CF"/>
    <w:rsid w:val="6C361E65"/>
    <w:rsid w:val="6C450AD1"/>
    <w:rsid w:val="6D1E302E"/>
    <w:rsid w:val="6D3377BA"/>
    <w:rsid w:val="6D39548B"/>
    <w:rsid w:val="6DB427D1"/>
    <w:rsid w:val="6E922B12"/>
    <w:rsid w:val="6EA33813"/>
    <w:rsid w:val="70523715"/>
    <w:rsid w:val="70CE6496"/>
    <w:rsid w:val="716F0EE9"/>
    <w:rsid w:val="71A80522"/>
    <w:rsid w:val="74DB0643"/>
    <w:rsid w:val="752D5343"/>
    <w:rsid w:val="764F55D6"/>
    <w:rsid w:val="76D65566"/>
    <w:rsid w:val="76F874AF"/>
    <w:rsid w:val="77F45242"/>
    <w:rsid w:val="784F6586"/>
    <w:rsid w:val="78623556"/>
    <w:rsid w:val="78704389"/>
    <w:rsid w:val="787E6801"/>
    <w:rsid w:val="7A190923"/>
    <w:rsid w:val="7A92514B"/>
    <w:rsid w:val="7CB00608"/>
    <w:rsid w:val="7E891110"/>
    <w:rsid w:val="7F173D2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560" w:lineRule="exact"/>
      <w:ind w:firstLine="420" w:firstLineChars="200"/>
      <w:jc w:val="both"/>
    </w:pPr>
    <w:rPr>
      <w:rFonts w:ascii="Calibri" w:hAnsi="Calibri" w:eastAsia="仿宋_GB2312" w:cs="黑体"/>
      <w:kern w:val="2"/>
      <w:sz w:val="28"/>
      <w:szCs w:val="22"/>
      <w:lang w:val="en-US" w:eastAsia="zh-CN" w:bidi="ar-SA"/>
    </w:rPr>
  </w:style>
  <w:style w:type="paragraph" w:styleId="3">
    <w:name w:val="Body Text Indent"/>
    <w:basedOn w:val="1"/>
    <w:qFormat/>
    <w:uiPriority w:val="0"/>
    <w:pPr>
      <w:widowControl w:val="0"/>
      <w:ind w:firstLine="555"/>
      <w:jc w:val="both"/>
    </w:pPr>
    <w:rPr>
      <w:rFonts w:ascii="仿宋_GB2312" w:hAnsi="Times New Roman" w:eastAsia="仿宋_GB2312" w:cs="Times New Roman"/>
      <w:kern w:val="2"/>
      <w:sz w:val="32"/>
      <w:szCs w:val="24"/>
      <w:lang w:val="en-US" w:eastAsia="zh-CN" w:bidi="ar-SA"/>
    </w:rPr>
  </w:style>
  <w:style w:type="paragraph" w:styleId="4">
    <w:name w:val="Body Text"/>
    <w:basedOn w:val="1"/>
    <w:next w:val="5"/>
    <w:unhideWhenUsed/>
    <w:qFormat/>
    <w:uiPriority w:val="99"/>
    <w:pPr>
      <w:widowControl w:val="0"/>
      <w:snapToGrid w:val="0"/>
      <w:spacing w:line="579" w:lineRule="exact"/>
      <w:jc w:val="both"/>
    </w:pPr>
    <w:rPr>
      <w:rFonts w:ascii="Calibri" w:hAnsi="Calibri" w:eastAsia="仿宋_GB2312" w:cs="Times New Roman"/>
      <w:kern w:val="2"/>
      <w:sz w:val="32"/>
      <w:szCs w:val="20"/>
      <w:lang w:val="en-US" w:eastAsia="zh-CN" w:bidi="ar-SA"/>
    </w:rPr>
  </w:style>
  <w:style w:type="paragraph" w:styleId="5">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toc 5"/>
    <w:next w:val="1"/>
    <w:qFormat/>
    <w:uiPriority w:val="0"/>
    <w:pPr>
      <w:widowControl w:val="0"/>
      <w:ind w:left="1680" w:leftChars="800"/>
      <w:jc w:val="both"/>
    </w:pPr>
    <w:rPr>
      <w:rFonts w:ascii="等线" w:hAnsi="等线" w:eastAsia="等线" w:cs="Times New Roman"/>
      <w:kern w:val="2"/>
      <w:sz w:val="21"/>
      <w:szCs w:val="24"/>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2">
    <w:name w:val="Strong"/>
    <w:qFormat/>
    <w:uiPriority w:val="0"/>
    <w:rPr>
      <w:b/>
    </w:rPr>
  </w:style>
  <w:style w:type="paragraph" w:customStyle="1" w:styleId="13">
    <w:name w:val="正文文字"/>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styleId="17">
    <w:name w:val="List Paragraph"/>
    <w:qFormat/>
    <w:uiPriority w:val="34"/>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customStyle="1" w:styleId="18">
    <w:name w:val="hei141"/>
    <w:qFormat/>
    <w:uiPriority w:val="0"/>
    <w:rPr>
      <w:rFonts w:hint="default" w:ascii="Times New Roman" w:hAnsi="Times New Roman" w:cs="Times New Roman"/>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3</Pages>
  <Words>11162</Words>
  <Characters>11610</Characters>
  <Lines>0</Lines>
  <Paragraphs>0</Paragraphs>
  <TotalTime>1</TotalTime>
  <ScaleCrop>false</ScaleCrop>
  <LinksUpToDate>false</LinksUpToDate>
  <CharactersWithSpaces>12010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WPS_1687744451</dc:creator>
  <cp:lastModifiedBy>微微~笑</cp:lastModifiedBy>
  <cp:lastPrinted>2026-03-05T07:24:00Z</cp:lastPrinted>
  <dcterms:modified xsi:type="dcterms:W3CDTF">2026-03-06T06:48:46Z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7DD3C34218B441AC9942909D11231D0E_13</vt:lpwstr>
  </property>
  <property fmtid="{D5CDD505-2E9C-101B-9397-08002B2CF9AE}" pid="4" name="KSOTemplateDocerSaveRecord">
    <vt:lpwstr>eyJoZGlkIjoiMGU0Nzk1MDJkNDgzMzQwNWYxYTA4NzA1YzFjMzM1MDQiLCJ1c2VySWQiOiI3NTc0NjE5NzEifQ==</vt:lpwstr>
  </property>
</Properties>
</file>